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0113" w14:textId="77777777" w:rsidR="004036E1" w:rsidRDefault="004036E1" w:rsidP="004036E1">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Laura Martínez </w:t>
      </w:r>
    </w:p>
    <w:p w14:paraId="4EC5101E" w14:textId="0790E139" w:rsidR="004036E1" w:rsidRPr="005C61A7" w:rsidRDefault="007879BF" w:rsidP="004036E1">
      <w:pPr>
        <w:pStyle w:val="xmsonormal"/>
        <w:spacing w:after="160"/>
        <w:jc w:val="center"/>
        <w:rPr>
          <w:rFonts w:ascii="Montserrat" w:hAnsi="Montserrat"/>
          <w:b/>
          <w:bCs/>
          <w:color w:val="243962"/>
          <w:sz w:val="32"/>
          <w:szCs w:val="32"/>
        </w:rPr>
      </w:pPr>
      <w:r>
        <w:rPr>
          <w:rFonts w:ascii="Montserrat" w:hAnsi="Montserrat"/>
          <w:b/>
          <w:bCs/>
          <w:color w:val="243962"/>
          <w:sz w:val="32"/>
          <w:szCs w:val="32"/>
        </w:rPr>
        <w:t>La moderación de la inflación europea como antesala de un verano tranquilo: El</w:t>
      </w:r>
      <w:r w:rsidR="00AE2CAC">
        <w:rPr>
          <w:rFonts w:ascii="Montserrat" w:hAnsi="Montserrat"/>
          <w:b/>
          <w:bCs/>
          <w:color w:val="243962"/>
          <w:sz w:val="32"/>
          <w:szCs w:val="32"/>
        </w:rPr>
        <w:t xml:space="preserve"> BCE </w:t>
      </w:r>
      <w:r>
        <w:rPr>
          <w:rFonts w:ascii="Montserrat" w:hAnsi="Montserrat"/>
          <w:b/>
          <w:bCs/>
          <w:color w:val="243962"/>
          <w:sz w:val="32"/>
          <w:szCs w:val="32"/>
        </w:rPr>
        <w:t xml:space="preserve">mantendrá invariable </w:t>
      </w:r>
      <w:r w:rsidR="00A651BF">
        <w:rPr>
          <w:rFonts w:ascii="Montserrat" w:hAnsi="Montserrat"/>
          <w:b/>
          <w:bCs/>
          <w:color w:val="243962"/>
          <w:sz w:val="32"/>
          <w:szCs w:val="32"/>
        </w:rPr>
        <w:t xml:space="preserve">los </w:t>
      </w:r>
      <w:r>
        <w:rPr>
          <w:rFonts w:ascii="Montserrat" w:hAnsi="Montserrat"/>
          <w:b/>
          <w:bCs/>
          <w:color w:val="243962"/>
          <w:sz w:val="32"/>
          <w:szCs w:val="32"/>
        </w:rPr>
        <w:t>tipos de interés</w:t>
      </w:r>
      <w:r w:rsidR="00A651BF">
        <w:rPr>
          <w:rFonts w:ascii="Montserrat" w:hAnsi="Montserrat"/>
          <w:b/>
          <w:bCs/>
          <w:color w:val="243962"/>
          <w:sz w:val="32"/>
          <w:szCs w:val="32"/>
        </w:rPr>
        <w:t xml:space="preserve"> </w:t>
      </w:r>
    </w:p>
    <w:p w14:paraId="79081D0C" w14:textId="77777777" w:rsidR="004036E1" w:rsidRDefault="004036E1" w:rsidP="004036E1">
      <w:pPr>
        <w:rPr>
          <w:rFonts w:ascii="Muli" w:hAnsi="Muli"/>
          <w:sz w:val="24"/>
          <w:szCs w:val="24"/>
        </w:rPr>
      </w:pPr>
    </w:p>
    <w:p w14:paraId="474F4082" w14:textId="31B3D49C" w:rsidR="004036E1" w:rsidRPr="00AC043F" w:rsidRDefault="004036E1" w:rsidP="004036E1">
      <w:pPr>
        <w:rPr>
          <w:rFonts w:ascii="Muli" w:hAnsi="Muli"/>
          <w:sz w:val="24"/>
          <w:szCs w:val="24"/>
        </w:rPr>
      </w:pPr>
      <w:r w:rsidRPr="200BADFB">
        <w:rPr>
          <w:rFonts w:ascii="Muli" w:hAnsi="Muli"/>
          <w:sz w:val="24"/>
          <w:szCs w:val="24"/>
        </w:rPr>
        <w:t xml:space="preserve">Madrid, </w:t>
      </w:r>
      <w:r w:rsidR="00BF1FA4">
        <w:rPr>
          <w:rFonts w:ascii="Muli" w:hAnsi="Muli"/>
          <w:sz w:val="24"/>
          <w:szCs w:val="24"/>
        </w:rPr>
        <w:t>22</w:t>
      </w:r>
      <w:r>
        <w:rPr>
          <w:rFonts w:ascii="Muli" w:hAnsi="Muli"/>
          <w:sz w:val="24"/>
          <w:szCs w:val="24"/>
        </w:rPr>
        <w:t xml:space="preserve"> de </w:t>
      </w:r>
      <w:r w:rsidR="00AE2CAC">
        <w:rPr>
          <w:rFonts w:ascii="Muli" w:hAnsi="Muli"/>
          <w:sz w:val="24"/>
          <w:szCs w:val="24"/>
        </w:rPr>
        <w:t>ju</w:t>
      </w:r>
      <w:r w:rsidR="00BF1FA4">
        <w:rPr>
          <w:rFonts w:ascii="Muli" w:hAnsi="Muli"/>
          <w:sz w:val="24"/>
          <w:szCs w:val="24"/>
        </w:rPr>
        <w:t>lio</w:t>
      </w:r>
      <w:r>
        <w:rPr>
          <w:rFonts w:ascii="Muli" w:hAnsi="Muli"/>
          <w:sz w:val="24"/>
          <w:szCs w:val="24"/>
        </w:rPr>
        <w:t xml:space="preserve"> de 2026</w:t>
      </w:r>
    </w:p>
    <w:p w14:paraId="4C2B09D1" w14:textId="44DB194B" w:rsidR="00BF1FA4" w:rsidRDefault="00CF68F2" w:rsidP="00AE2CAC">
      <w:pPr>
        <w:pStyle w:val="paragraph"/>
        <w:spacing w:before="240"/>
        <w:jc w:val="both"/>
        <w:textAlignment w:val="baseline"/>
        <w:rPr>
          <w:rFonts w:ascii="Muli" w:hAnsi="Muli"/>
        </w:rPr>
      </w:pPr>
      <w:r>
        <w:rPr>
          <w:rFonts w:ascii="Muli" w:hAnsi="Muli"/>
        </w:rPr>
        <w:t>“</w:t>
      </w:r>
      <w:r w:rsidR="00AE051E">
        <w:rPr>
          <w:rFonts w:ascii="Muli" w:hAnsi="Muli"/>
        </w:rPr>
        <w:t>La reunión que el Banco Central Europeo (BCE) celebra este jueves 23 de julio se presenta como una de las más previsibles de los últimos meses. Tras el incremento de 25 puntos básicos aprobado el pasado 11 de junio, todo apunta a que la institución presidida por Christine Lagarde optará por mantener el precio del dinero sin cambios. El escenario encaja</w:t>
      </w:r>
      <w:r w:rsidR="00BC7A2C">
        <w:rPr>
          <w:rFonts w:ascii="Muli" w:hAnsi="Muli"/>
        </w:rPr>
        <w:t xml:space="preserve"> con la moderación de la inflación de la eurozona </w:t>
      </w:r>
      <w:r w:rsidR="00A651BF">
        <w:rPr>
          <w:rFonts w:ascii="Muli" w:hAnsi="Muli"/>
        </w:rPr>
        <w:t xml:space="preserve">en junio hasta el </w:t>
      </w:r>
      <w:r w:rsidR="00BC7A2C">
        <w:rPr>
          <w:rFonts w:ascii="Muli" w:hAnsi="Muli"/>
        </w:rPr>
        <w:t xml:space="preserve">2,8%, </w:t>
      </w:r>
      <w:r w:rsidR="00A651BF">
        <w:rPr>
          <w:rFonts w:ascii="Muli" w:hAnsi="Muli"/>
        </w:rPr>
        <w:t xml:space="preserve">cuatro décimas menos que en mes de mayo y </w:t>
      </w:r>
      <w:r w:rsidR="00BC7A2C">
        <w:rPr>
          <w:rFonts w:ascii="Muli" w:hAnsi="Muli"/>
        </w:rPr>
        <w:t xml:space="preserve">su nivel más bajo desde marzo. </w:t>
      </w:r>
    </w:p>
    <w:p w14:paraId="654004C3" w14:textId="0F7375B5" w:rsidR="00BC7A2C" w:rsidRDefault="00BC7A2C" w:rsidP="00AE2CAC">
      <w:pPr>
        <w:pStyle w:val="paragraph"/>
        <w:spacing w:before="240"/>
        <w:jc w:val="both"/>
        <w:textAlignment w:val="baseline"/>
        <w:rPr>
          <w:rFonts w:ascii="Muli" w:hAnsi="Muli"/>
        </w:rPr>
      </w:pPr>
      <w:r>
        <w:rPr>
          <w:rFonts w:ascii="Muli" w:hAnsi="Muli"/>
        </w:rPr>
        <w:t xml:space="preserve">La política monetaria del BCE continúa marcada por la prudencia. Que sea este periodo estival de aumento del consumo y que los mercados aún estén asimilando la subida de </w:t>
      </w:r>
      <w:r w:rsidR="00A7693A">
        <w:rPr>
          <w:rFonts w:ascii="Muli" w:hAnsi="Muli"/>
        </w:rPr>
        <w:t xml:space="preserve">25 puntos básicos de </w:t>
      </w:r>
      <w:r>
        <w:rPr>
          <w:rFonts w:ascii="Muli" w:hAnsi="Muli"/>
        </w:rPr>
        <w:t xml:space="preserve">junio reducen la presión para volver a endurecer las condiciones financieras de forma inmediata. En este contexto, el organismo europeo ganará tiempo </w:t>
      </w:r>
      <w:r w:rsidR="00A7693A">
        <w:rPr>
          <w:rFonts w:ascii="Muli" w:hAnsi="Muli"/>
        </w:rPr>
        <w:t>durante las próximas semanas</w:t>
      </w:r>
      <w:r>
        <w:rPr>
          <w:rFonts w:ascii="Muli" w:hAnsi="Muli"/>
        </w:rPr>
        <w:t xml:space="preserve"> antes de tomar nuevas decisiones Tradicionalmente, la institución financiera evita introducir cambios relevantes en plena campaña de verano ya no solo por el aumento del consumo, sino también porque resulta más complejo medir con precisión el efecto de las decisiones monetarias. Por ello, de producirse un nuevo movimiento sobre los tipos de interés, el escenario más probable es la reunión de septiembre, una vez finalizado el verano y con más indicadores macroeconómicos sobre la mesa. </w:t>
      </w:r>
    </w:p>
    <w:p w14:paraId="4AA2DBF7" w14:textId="5BC6A20B" w:rsidR="00BC7A2C" w:rsidRDefault="00BC7A2C" w:rsidP="00AE2CAC">
      <w:pPr>
        <w:pStyle w:val="paragraph"/>
        <w:spacing w:before="240"/>
        <w:jc w:val="both"/>
        <w:textAlignment w:val="baseline"/>
        <w:rPr>
          <w:rFonts w:ascii="Muli" w:hAnsi="Muli"/>
        </w:rPr>
      </w:pPr>
      <w:r>
        <w:rPr>
          <w:rFonts w:ascii="Muli" w:hAnsi="Muli"/>
        </w:rPr>
        <w:t>A ello se suma un entorno internacional todavía incierto. La evolución del conflicto en Irán y su posible impacto sobre el precio del petróleo continúan siendo uno de los principales factores de vigilancia para Fráncfort</w:t>
      </w:r>
      <w:r w:rsidR="00A651BF">
        <w:rPr>
          <w:rFonts w:ascii="Muli" w:hAnsi="Muli"/>
        </w:rPr>
        <w:t xml:space="preserve"> y el componente que más influye en la inflación</w:t>
      </w:r>
      <w:r>
        <w:rPr>
          <w:rFonts w:ascii="Muli" w:hAnsi="Muli"/>
        </w:rPr>
        <w:t xml:space="preserve">. Un eventual repunte del </w:t>
      </w:r>
      <w:r w:rsidR="00A7693A">
        <w:rPr>
          <w:rFonts w:ascii="Muli" w:hAnsi="Muli"/>
        </w:rPr>
        <w:t xml:space="preserve">barril </w:t>
      </w:r>
      <w:r>
        <w:rPr>
          <w:rFonts w:ascii="Muli" w:hAnsi="Muli"/>
        </w:rPr>
        <w:t xml:space="preserve">Brent podría volver a trasladarse a la inflación energética y condicionar las próximas decisiones del BCE, del mismo modo que la evolución del contexto político y económico europeo marcará el margen de actuación de la autoridad monetaria durante el último trimestre del año. </w:t>
      </w:r>
    </w:p>
    <w:p w14:paraId="139C0138" w14:textId="19A7295C" w:rsidR="007879BF" w:rsidRDefault="00BC7A2C" w:rsidP="00AE2CAC">
      <w:pPr>
        <w:pStyle w:val="paragraph"/>
        <w:spacing w:before="240"/>
        <w:jc w:val="both"/>
        <w:textAlignment w:val="baseline"/>
        <w:rPr>
          <w:rFonts w:ascii="Muli" w:hAnsi="Muli"/>
        </w:rPr>
      </w:pPr>
      <w:r>
        <w:rPr>
          <w:rFonts w:ascii="Muli" w:hAnsi="Muli"/>
        </w:rPr>
        <w:t>Por tanto, la estabilidad de los tipos de interés supone un mensaje de tranquilidad para quienes estén pensando en contratar una hipoteca o revisen próximamente un préstamo variable. El Euríbor ya había descontado buena parte de la subida aprobada en junio y, salvo cambios inesperados en las expectativas del mercado, no se esperan movimientos bruscos durante las próximas semanas.</w:t>
      </w:r>
      <w:r w:rsidR="00A7693A">
        <w:rPr>
          <w:rFonts w:ascii="Muli" w:hAnsi="Muli"/>
        </w:rPr>
        <w:t xml:space="preserve"> </w:t>
      </w:r>
      <w:r w:rsidR="007879BF">
        <w:rPr>
          <w:rFonts w:ascii="Muli" w:hAnsi="Muli"/>
        </w:rPr>
        <w:t>Esto permitirá a las entidades financieras mantener una estrategia comercial relativamente estable durante el verano, época además de quietud en el mercado hipotecario. Será a partir de septiembre cuando los bancos puedan valorar con mayor claridad cómo actúan en respuesta a las decisiones que pueda tomar el BCE</w:t>
      </w:r>
      <w:r w:rsidR="00CF68F2">
        <w:rPr>
          <w:rFonts w:ascii="Muli" w:hAnsi="Muli"/>
        </w:rPr>
        <w:t>”</w:t>
      </w:r>
      <w:r w:rsidR="007879BF">
        <w:rPr>
          <w:rFonts w:ascii="Muli" w:hAnsi="Muli"/>
        </w:rPr>
        <w:t xml:space="preserve">.  </w:t>
      </w:r>
    </w:p>
    <w:p w14:paraId="20D4C5D3" w14:textId="77777777" w:rsidR="004036E1" w:rsidRPr="005C61A7" w:rsidRDefault="004036E1" w:rsidP="004036E1">
      <w:pPr>
        <w:pStyle w:val="paragraph"/>
        <w:spacing w:before="240"/>
        <w:textAlignment w:val="baseline"/>
        <w:rPr>
          <w:rStyle w:val="contentpasted0"/>
          <w:rFonts w:ascii="Muli" w:hAnsi="Muli"/>
        </w:rPr>
      </w:pPr>
      <w:r>
        <w:rPr>
          <w:rStyle w:val="contentpasted0"/>
          <w:rFonts w:ascii="Muli" w:hAnsi="Muli"/>
          <w:color w:val="000000"/>
          <w:u w:val="single"/>
        </w:rPr>
        <w:lastRenderedPageBreak/>
        <w:t>Laura Martínez, portavoz de iAhorro.</w:t>
      </w:r>
    </w:p>
    <w:p w14:paraId="1DB5E1DB" w14:textId="77777777" w:rsidR="004036E1" w:rsidRPr="000B5564" w:rsidRDefault="004036E1" w:rsidP="004036E1">
      <w:pPr>
        <w:rPr>
          <w:rStyle w:val="contentpasted0"/>
          <w:rFonts w:ascii="Muli" w:hAnsi="Muli"/>
          <w:color w:val="000000"/>
          <w:sz w:val="24"/>
          <w:szCs w:val="24"/>
          <w:u w:val="single"/>
        </w:rPr>
      </w:pPr>
    </w:p>
    <w:p w14:paraId="65A65CDB" w14:textId="77777777" w:rsidR="004036E1" w:rsidRDefault="004036E1" w:rsidP="004036E1">
      <w:pPr>
        <w:rPr>
          <w:rStyle w:val="contentpasted0"/>
          <w:rFonts w:ascii="Muli" w:hAnsi="Muli"/>
          <w:i/>
          <w:iCs/>
          <w:color w:val="000000"/>
          <w:u w:val="single"/>
        </w:rPr>
      </w:pPr>
    </w:p>
    <w:p w14:paraId="3A4536A5" w14:textId="77777777" w:rsidR="004036E1" w:rsidRDefault="004036E1" w:rsidP="004036E1">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2016"/>
        <w:gridCol w:w="2555"/>
        <w:gridCol w:w="2521"/>
      </w:tblGrid>
      <w:tr w:rsidR="004036E1" w:rsidRPr="00AF342D" w14:paraId="794B4728" w14:textId="77777777" w:rsidTr="00E31F6E">
        <w:trPr>
          <w:trHeight w:val="132"/>
        </w:trPr>
        <w:tc>
          <w:tcPr>
            <w:tcW w:w="1980" w:type="dxa"/>
            <w:tcMar>
              <w:top w:w="0" w:type="dxa"/>
              <w:left w:w="108" w:type="dxa"/>
              <w:bottom w:w="0" w:type="dxa"/>
              <w:right w:w="108" w:type="dxa"/>
            </w:tcMar>
            <w:vAlign w:val="center"/>
            <w:hideMark/>
          </w:tcPr>
          <w:p w14:paraId="0C4E1FCD" w14:textId="77777777" w:rsidR="004036E1" w:rsidRDefault="004036E1" w:rsidP="00E31F6E">
            <w:pPr>
              <w:pStyle w:val="Piedepgina"/>
              <w:spacing w:line="252" w:lineRule="auto"/>
              <w:rPr>
                <w:rFonts w:ascii="Aptos" w:hAnsi="Aptos" w:cs="Aptos"/>
                <w:b/>
                <w:bCs/>
                <w:sz w:val="18"/>
                <w:szCs w:val="18"/>
              </w:rPr>
            </w:pPr>
            <w:r>
              <w:rPr>
                <w:noProof/>
              </w:rPr>
              <w:drawing>
                <wp:inline distT="0" distB="0" distL="0" distR="0" wp14:anchorId="00D3D4CF" wp14:editId="5997BA47">
                  <wp:extent cx="1143000" cy="565999"/>
                  <wp:effectExtent l="0" t="0" r="0" b="0"/>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6">
                            <a:extLst>
                              <a:ext uri="{28A0092B-C50C-407E-A947-70E740481C1C}">
                                <a14:useLocalDpi xmlns:a14="http://schemas.microsoft.com/office/drawing/2010/main" val="0"/>
                              </a:ext>
                            </a:extLst>
                          </a:blip>
                          <a:stretch>
                            <a:fillRect/>
                          </a:stretch>
                        </pic:blipFill>
                        <pic:spPr>
                          <a:xfrm>
                            <a:off x="0" y="0"/>
                            <a:ext cx="1148384" cy="568665"/>
                          </a:xfrm>
                          <a:prstGeom prst="rect">
                            <a:avLst/>
                          </a:prstGeom>
                        </pic:spPr>
                      </pic:pic>
                    </a:graphicData>
                  </a:graphic>
                </wp:inline>
              </w:drawing>
            </w:r>
          </w:p>
        </w:tc>
        <w:tc>
          <w:tcPr>
            <w:tcW w:w="2556" w:type="dxa"/>
            <w:tcMar>
              <w:top w:w="0" w:type="dxa"/>
              <w:left w:w="108" w:type="dxa"/>
              <w:bottom w:w="0" w:type="dxa"/>
              <w:right w:w="108" w:type="dxa"/>
            </w:tcMar>
            <w:vAlign w:val="center"/>
          </w:tcPr>
          <w:p w14:paraId="2C26B65E" w14:textId="77777777" w:rsidR="004036E1" w:rsidRDefault="004036E1" w:rsidP="00E31F6E">
            <w:pPr>
              <w:pStyle w:val="Piedepgina"/>
              <w:spacing w:line="252" w:lineRule="auto"/>
              <w:jc w:val="center"/>
              <w:rPr>
                <w:b/>
                <w:bCs/>
                <w:sz w:val="18"/>
                <w:szCs w:val="18"/>
              </w:rPr>
            </w:pPr>
          </w:p>
          <w:p w14:paraId="642F0525" w14:textId="77777777" w:rsidR="004036E1" w:rsidRDefault="004036E1" w:rsidP="00E31F6E">
            <w:pPr>
              <w:pStyle w:val="Piedepgina"/>
              <w:spacing w:line="252" w:lineRule="auto"/>
              <w:jc w:val="center"/>
              <w:rPr>
                <w:b/>
                <w:bCs/>
                <w:sz w:val="18"/>
                <w:szCs w:val="18"/>
              </w:rPr>
            </w:pPr>
          </w:p>
          <w:p w14:paraId="7AE543D7" w14:textId="77777777" w:rsidR="004036E1" w:rsidRDefault="004036E1" w:rsidP="00E31F6E">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7" w:history="1">
              <w:r w:rsidRPr="009D144E">
                <w:rPr>
                  <w:rStyle w:val="Hipervnculo"/>
                  <w:sz w:val="18"/>
                  <w:szCs w:val="18"/>
                </w:rPr>
                <w:t>laura.martinez@iahorro.com</w:t>
              </w:r>
            </w:hyperlink>
          </w:p>
          <w:p w14:paraId="4868826C" w14:textId="77777777" w:rsidR="004036E1" w:rsidRDefault="004036E1" w:rsidP="00E31F6E">
            <w:pPr>
              <w:pStyle w:val="Piedepgina"/>
              <w:spacing w:line="252" w:lineRule="auto"/>
              <w:jc w:val="center"/>
              <w:rPr>
                <w:b/>
                <w:bCs/>
                <w:sz w:val="18"/>
                <w:szCs w:val="18"/>
                <w:lang w:val="pt-PT"/>
              </w:rPr>
            </w:pPr>
          </w:p>
          <w:p w14:paraId="6C6031B0" w14:textId="77777777" w:rsidR="004036E1" w:rsidRDefault="004036E1" w:rsidP="00E31F6E">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415F1F94" w14:textId="3CDC3BD7" w:rsidR="004036E1" w:rsidRDefault="004036E1" w:rsidP="00E31F6E">
            <w:pPr>
              <w:pStyle w:val="Piedepgina"/>
              <w:spacing w:line="252" w:lineRule="auto"/>
              <w:rPr>
                <w:b/>
                <w:bCs/>
                <w:sz w:val="18"/>
                <w:szCs w:val="18"/>
                <w:lang w:val="pt-PT"/>
              </w:rPr>
            </w:pPr>
          </w:p>
        </w:tc>
      </w:tr>
    </w:tbl>
    <w:p w14:paraId="57F5B3EE" w14:textId="77777777" w:rsidR="004036E1" w:rsidRDefault="004036E1" w:rsidP="004036E1"/>
    <w:p w14:paraId="0804889B" w14:textId="77777777" w:rsidR="004036E1" w:rsidRDefault="004036E1" w:rsidP="004036E1"/>
    <w:p w14:paraId="30F95F4D" w14:textId="77777777" w:rsidR="004036E1" w:rsidRDefault="004036E1" w:rsidP="004036E1"/>
    <w:p w14:paraId="69C9E144" w14:textId="77777777" w:rsidR="004036E1" w:rsidRDefault="004036E1" w:rsidP="004036E1"/>
    <w:p w14:paraId="7934C2E0" w14:textId="77777777" w:rsidR="00A07969" w:rsidRDefault="00A07969"/>
    <w:sectPr w:rsidR="00A07969" w:rsidSect="004036E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E912" w14:textId="77777777" w:rsidR="00BA1A0A" w:rsidRDefault="00BA1A0A" w:rsidP="00703C84">
      <w:r>
        <w:separator/>
      </w:r>
    </w:p>
  </w:endnote>
  <w:endnote w:type="continuationSeparator" w:id="0">
    <w:p w14:paraId="54A81D65" w14:textId="77777777" w:rsidR="00BA1A0A" w:rsidRDefault="00BA1A0A" w:rsidP="0070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85B4" w14:textId="77777777" w:rsidR="00BA1A0A" w:rsidRDefault="00BA1A0A" w:rsidP="00703C84">
      <w:r>
        <w:separator/>
      </w:r>
    </w:p>
  </w:footnote>
  <w:footnote w:type="continuationSeparator" w:id="0">
    <w:p w14:paraId="49E30FEE" w14:textId="77777777" w:rsidR="00BA1A0A" w:rsidRDefault="00BA1A0A" w:rsidP="0070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F3EC" w14:textId="231058EC" w:rsidR="00703C84" w:rsidRDefault="00EA6828">
    <w:pPr>
      <w:pStyle w:val="Encabezado"/>
    </w:pPr>
    <w:r w:rsidRPr="00942871">
      <w:rPr>
        <w:noProof/>
      </w:rPr>
      <w:drawing>
        <wp:anchor distT="0" distB="0" distL="114300" distR="114300" simplePos="0" relativeHeight="251659264" behindDoc="0" locked="0" layoutInCell="1" allowOverlap="1" wp14:anchorId="19009FFA" wp14:editId="5571CA35">
          <wp:simplePos x="0" y="0"/>
          <wp:positionH relativeFrom="margin">
            <wp:posOffset>4233600</wp:posOffset>
          </wp:positionH>
          <wp:positionV relativeFrom="topMargin">
            <wp:posOffset>463130</wp:posOffset>
          </wp:positionV>
          <wp:extent cx="1509395" cy="714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sidR="00703C84">
      <w:rPr>
        <w:noProof/>
      </w:rPr>
      <w:drawing>
        <wp:inline distT="0" distB="0" distL="0" distR="0" wp14:anchorId="7F31869A" wp14:editId="05225BFC">
          <wp:extent cx="1945758" cy="921312"/>
          <wp:effectExtent l="0" t="0" r="0" b="0"/>
          <wp:docPr id="10" name="Grá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E1"/>
    <w:rsid w:val="00073C55"/>
    <w:rsid w:val="000C312F"/>
    <w:rsid w:val="002702F0"/>
    <w:rsid w:val="003879C5"/>
    <w:rsid w:val="004036E1"/>
    <w:rsid w:val="00435CE1"/>
    <w:rsid w:val="00542EEA"/>
    <w:rsid w:val="00703C84"/>
    <w:rsid w:val="007879BF"/>
    <w:rsid w:val="007E0F94"/>
    <w:rsid w:val="00A07969"/>
    <w:rsid w:val="00A651BF"/>
    <w:rsid w:val="00A7693A"/>
    <w:rsid w:val="00AD3808"/>
    <w:rsid w:val="00AE051E"/>
    <w:rsid w:val="00AE2CAC"/>
    <w:rsid w:val="00BA1A0A"/>
    <w:rsid w:val="00BC31BD"/>
    <w:rsid w:val="00BC7A2C"/>
    <w:rsid w:val="00BF1FA4"/>
    <w:rsid w:val="00C7253D"/>
    <w:rsid w:val="00CF68F2"/>
    <w:rsid w:val="00CF74E5"/>
    <w:rsid w:val="00DB3317"/>
    <w:rsid w:val="00EA68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2E96"/>
  <w15:chartTrackingRefBased/>
  <w15:docId w15:val="{889EFFE1-E40E-4B44-8CE3-4CEB5E29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4036E1"/>
    <w:pPr>
      <w:spacing w:after="0" w:line="240" w:lineRule="auto"/>
    </w:pPr>
    <w:rPr>
      <w:rFonts w:ascii="Calibri" w:hAnsi="Calibri" w:cs="Calibri"/>
      <w:kern w:val="0"/>
      <w:sz w:val="22"/>
      <w:szCs w:val="22"/>
    </w:rPr>
  </w:style>
  <w:style w:type="paragraph" w:styleId="Ttulo1">
    <w:name w:val="heading 1"/>
    <w:basedOn w:val="Normal"/>
    <w:next w:val="Normal"/>
    <w:link w:val="Ttulo1Car"/>
    <w:uiPriority w:val="9"/>
    <w:qFormat/>
    <w:rsid w:val="004036E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Ttulo2">
    <w:name w:val="heading 2"/>
    <w:basedOn w:val="Normal"/>
    <w:next w:val="Normal"/>
    <w:link w:val="Ttulo2Car"/>
    <w:uiPriority w:val="9"/>
    <w:semiHidden/>
    <w:unhideWhenUsed/>
    <w:qFormat/>
    <w:rsid w:val="004036E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Ttulo3">
    <w:name w:val="heading 3"/>
    <w:basedOn w:val="Normal"/>
    <w:next w:val="Normal"/>
    <w:link w:val="Ttulo3Car"/>
    <w:uiPriority w:val="9"/>
    <w:semiHidden/>
    <w:unhideWhenUsed/>
    <w:qFormat/>
    <w:rsid w:val="004036E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Ttulo4">
    <w:name w:val="heading 4"/>
    <w:basedOn w:val="Normal"/>
    <w:next w:val="Normal"/>
    <w:link w:val="Ttulo4Car"/>
    <w:uiPriority w:val="9"/>
    <w:semiHidden/>
    <w:unhideWhenUsed/>
    <w:qFormat/>
    <w:rsid w:val="004036E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Ttulo5">
    <w:name w:val="heading 5"/>
    <w:basedOn w:val="Normal"/>
    <w:next w:val="Normal"/>
    <w:link w:val="Ttulo5Car"/>
    <w:uiPriority w:val="9"/>
    <w:semiHidden/>
    <w:unhideWhenUsed/>
    <w:qFormat/>
    <w:rsid w:val="004036E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Ttulo6">
    <w:name w:val="heading 6"/>
    <w:basedOn w:val="Normal"/>
    <w:next w:val="Normal"/>
    <w:link w:val="Ttulo6Car"/>
    <w:uiPriority w:val="9"/>
    <w:semiHidden/>
    <w:unhideWhenUsed/>
    <w:qFormat/>
    <w:rsid w:val="004036E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Ttulo7">
    <w:name w:val="heading 7"/>
    <w:basedOn w:val="Normal"/>
    <w:next w:val="Normal"/>
    <w:link w:val="Ttulo7Car"/>
    <w:uiPriority w:val="9"/>
    <w:semiHidden/>
    <w:unhideWhenUsed/>
    <w:qFormat/>
    <w:rsid w:val="004036E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Ttulo8">
    <w:name w:val="heading 8"/>
    <w:basedOn w:val="Normal"/>
    <w:next w:val="Normal"/>
    <w:link w:val="Ttulo8Car"/>
    <w:uiPriority w:val="9"/>
    <w:semiHidden/>
    <w:unhideWhenUsed/>
    <w:qFormat/>
    <w:rsid w:val="004036E1"/>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Ttulo9">
    <w:name w:val="heading 9"/>
    <w:basedOn w:val="Normal"/>
    <w:next w:val="Normal"/>
    <w:link w:val="Ttulo9Car"/>
    <w:uiPriority w:val="9"/>
    <w:semiHidden/>
    <w:unhideWhenUsed/>
    <w:qFormat/>
    <w:rsid w:val="004036E1"/>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36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36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36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36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36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36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36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36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36E1"/>
    <w:rPr>
      <w:rFonts w:eastAsiaTheme="majorEastAsia" w:cstheme="majorBidi"/>
      <w:color w:val="272727" w:themeColor="text1" w:themeTint="D8"/>
    </w:rPr>
  </w:style>
  <w:style w:type="paragraph" w:styleId="Ttulo">
    <w:name w:val="Title"/>
    <w:basedOn w:val="Normal"/>
    <w:next w:val="Normal"/>
    <w:link w:val="TtuloCar"/>
    <w:uiPriority w:val="10"/>
    <w:qFormat/>
    <w:rsid w:val="004036E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36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36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tuloCar">
    <w:name w:val="Subtítulo Car"/>
    <w:basedOn w:val="Fuentedeprrafopredeter"/>
    <w:link w:val="Subttulo"/>
    <w:uiPriority w:val="11"/>
    <w:rsid w:val="004036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36E1"/>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CitaCar">
    <w:name w:val="Cita Car"/>
    <w:basedOn w:val="Fuentedeprrafopredeter"/>
    <w:link w:val="Cita"/>
    <w:uiPriority w:val="29"/>
    <w:rsid w:val="004036E1"/>
    <w:rPr>
      <w:i/>
      <w:iCs/>
      <w:color w:val="404040" w:themeColor="text1" w:themeTint="BF"/>
    </w:rPr>
  </w:style>
  <w:style w:type="paragraph" w:styleId="Prrafodelista">
    <w:name w:val="List Paragraph"/>
    <w:basedOn w:val="Normal"/>
    <w:uiPriority w:val="34"/>
    <w:qFormat/>
    <w:rsid w:val="004036E1"/>
    <w:pPr>
      <w:spacing w:after="160" w:line="278" w:lineRule="auto"/>
      <w:ind w:left="720"/>
      <w:contextualSpacing/>
    </w:pPr>
    <w:rPr>
      <w:rFonts w:asciiTheme="minorHAnsi" w:hAnsiTheme="minorHAnsi" w:cstheme="minorBidi"/>
      <w:kern w:val="2"/>
      <w:sz w:val="24"/>
      <w:szCs w:val="24"/>
    </w:rPr>
  </w:style>
  <w:style w:type="character" w:styleId="nfasisintenso">
    <w:name w:val="Intense Emphasis"/>
    <w:basedOn w:val="Fuentedeprrafopredeter"/>
    <w:uiPriority w:val="21"/>
    <w:qFormat/>
    <w:rsid w:val="004036E1"/>
    <w:rPr>
      <w:i/>
      <w:iCs/>
      <w:color w:val="0F4761" w:themeColor="accent1" w:themeShade="BF"/>
    </w:rPr>
  </w:style>
  <w:style w:type="paragraph" w:styleId="Citadestacada">
    <w:name w:val="Intense Quote"/>
    <w:basedOn w:val="Normal"/>
    <w:next w:val="Normal"/>
    <w:link w:val="CitadestacadaCar"/>
    <w:uiPriority w:val="30"/>
    <w:qFormat/>
    <w:rsid w:val="004036E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customStyle="1" w:styleId="CitadestacadaCar">
    <w:name w:val="Cita destacada Car"/>
    <w:basedOn w:val="Fuentedeprrafopredeter"/>
    <w:link w:val="Citadestacada"/>
    <w:uiPriority w:val="30"/>
    <w:rsid w:val="004036E1"/>
    <w:rPr>
      <w:i/>
      <w:iCs/>
      <w:color w:val="0F4761" w:themeColor="accent1" w:themeShade="BF"/>
    </w:rPr>
  </w:style>
  <w:style w:type="character" w:styleId="Referenciaintensa">
    <w:name w:val="Intense Reference"/>
    <w:basedOn w:val="Fuentedeprrafopredeter"/>
    <w:uiPriority w:val="32"/>
    <w:qFormat/>
    <w:rsid w:val="004036E1"/>
    <w:rPr>
      <w:b/>
      <w:bCs/>
      <w:smallCaps/>
      <w:color w:val="0F4761" w:themeColor="accent1" w:themeShade="BF"/>
      <w:spacing w:val="5"/>
    </w:rPr>
  </w:style>
  <w:style w:type="character" w:customStyle="1" w:styleId="contentpasted0">
    <w:name w:val="contentpasted0"/>
    <w:basedOn w:val="Fuentedeprrafopredeter"/>
    <w:rsid w:val="004036E1"/>
  </w:style>
  <w:style w:type="paragraph" w:customStyle="1" w:styleId="xmsonormal">
    <w:name w:val="x_msonormal"/>
    <w:basedOn w:val="Normal"/>
    <w:uiPriority w:val="99"/>
    <w:rsid w:val="004036E1"/>
    <w:rPr>
      <w:lang w:eastAsia="es-ES"/>
      <w14:ligatures w14:val="none"/>
    </w:rPr>
  </w:style>
  <w:style w:type="paragraph" w:customStyle="1" w:styleId="paragraph">
    <w:name w:val="paragraph"/>
    <w:basedOn w:val="Normal"/>
    <w:rsid w:val="004036E1"/>
    <w:pPr>
      <w:spacing w:before="100" w:beforeAutospacing="1" w:after="100" w:afterAutospacing="1"/>
    </w:pPr>
    <w:rPr>
      <w:rFonts w:ascii="Times New Roman" w:hAnsi="Times New Roman" w:cs="Times New Roman"/>
      <w:sz w:val="24"/>
      <w:szCs w:val="24"/>
      <w:lang w:eastAsia="es-ES"/>
      <w14:ligatures w14:val="none"/>
    </w:rPr>
  </w:style>
  <w:style w:type="paragraph" w:styleId="Piedepgina">
    <w:name w:val="footer"/>
    <w:basedOn w:val="Normal"/>
    <w:link w:val="PiedepginaCar"/>
    <w:uiPriority w:val="99"/>
    <w:unhideWhenUsed/>
    <w:rsid w:val="004036E1"/>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4036E1"/>
    <w:rPr>
      <w:kern w:val="0"/>
      <w:sz w:val="22"/>
      <w:szCs w:val="22"/>
      <w14:ligatures w14:val="none"/>
    </w:rPr>
  </w:style>
  <w:style w:type="character" w:styleId="Hipervnculo">
    <w:name w:val="Hyperlink"/>
    <w:basedOn w:val="Fuentedeprrafopredeter"/>
    <w:uiPriority w:val="99"/>
    <w:unhideWhenUsed/>
    <w:rsid w:val="004036E1"/>
    <w:rPr>
      <w:color w:val="0563C1"/>
      <w:u w:val="single"/>
    </w:rPr>
  </w:style>
  <w:style w:type="paragraph" w:styleId="Encabezado">
    <w:name w:val="header"/>
    <w:basedOn w:val="Normal"/>
    <w:link w:val="EncabezadoCar"/>
    <w:uiPriority w:val="99"/>
    <w:unhideWhenUsed/>
    <w:rsid w:val="00703C84"/>
    <w:pPr>
      <w:tabs>
        <w:tab w:val="center" w:pos="4252"/>
        <w:tab w:val="right" w:pos="8504"/>
      </w:tabs>
    </w:pPr>
  </w:style>
  <w:style w:type="character" w:customStyle="1" w:styleId="EncabezadoCar">
    <w:name w:val="Encabezado Car"/>
    <w:basedOn w:val="Fuentedeprrafopredeter"/>
    <w:link w:val="Encabezado"/>
    <w:uiPriority w:val="99"/>
    <w:rsid w:val="00703C84"/>
    <w:rPr>
      <w:rFonts w:ascii="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aura.martinez@iahorr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2651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García Bruno</dc:creator>
  <cp:keywords/>
  <dc:description/>
  <cp:lastModifiedBy>Nerea Gastesi</cp:lastModifiedBy>
  <cp:revision>2</cp:revision>
  <dcterms:created xsi:type="dcterms:W3CDTF">2026-08-14T10:33:00Z</dcterms:created>
  <dcterms:modified xsi:type="dcterms:W3CDTF">2026-08-14T10:33:00Z</dcterms:modified>
</cp:coreProperties>
</file>