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E959" w14:textId="77777777" w:rsidR="001B687B" w:rsidRDefault="001B687B" w:rsidP="001B687B">
      <w:pPr>
        <w:spacing w:after="1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03724381"/>
      <w:r>
        <w:rPr>
          <w:rStyle w:val="contentpasted0"/>
          <w:rFonts w:ascii="Muli" w:hAnsi="Muli"/>
          <w:b/>
          <w:bCs/>
          <w:color w:val="000000"/>
          <w:sz w:val="24"/>
          <w:szCs w:val="24"/>
        </w:rPr>
        <w:t>Análisis de los datos del INE, por Laura Martínez</w:t>
      </w:r>
    </w:p>
    <w:p w14:paraId="0300A3B9" w14:textId="01B480A0" w:rsidR="001B687B" w:rsidRDefault="00CC1125" w:rsidP="001B687B">
      <w:pPr>
        <w:jc w:val="center"/>
        <w:rPr>
          <w:rFonts w:ascii="Montserrat" w:hAnsi="Montserrat"/>
          <w:b/>
          <w:bCs/>
          <w:color w:val="243962"/>
          <w:sz w:val="32"/>
          <w:szCs w:val="32"/>
          <w:lang w:eastAsia="es-ES"/>
          <w14:ligatures w14:val="none"/>
        </w:rPr>
      </w:pPr>
      <w:r>
        <w:rPr>
          <w:rFonts w:ascii="Montserrat" w:hAnsi="Montserrat"/>
          <w:b/>
          <w:bCs/>
          <w:color w:val="243962"/>
          <w:sz w:val="32"/>
          <w:szCs w:val="32"/>
          <w:lang w:eastAsia="es-ES"/>
          <w14:ligatures w14:val="none"/>
        </w:rPr>
        <w:t xml:space="preserve">Las hipotecas resisten </w:t>
      </w:r>
      <w:r w:rsidR="00680B81">
        <w:rPr>
          <w:rFonts w:ascii="Montserrat" w:hAnsi="Montserrat"/>
          <w:b/>
          <w:bCs/>
          <w:color w:val="243962"/>
          <w:sz w:val="32"/>
          <w:szCs w:val="32"/>
          <w:lang w:eastAsia="es-ES"/>
          <w14:ligatures w14:val="none"/>
        </w:rPr>
        <w:t xml:space="preserve">con moderación </w:t>
      </w:r>
      <w:r>
        <w:rPr>
          <w:rFonts w:ascii="Montserrat" w:hAnsi="Montserrat"/>
          <w:b/>
          <w:bCs/>
          <w:color w:val="243962"/>
          <w:sz w:val="32"/>
          <w:szCs w:val="32"/>
          <w:lang w:eastAsia="es-ES"/>
          <w14:ligatures w14:val="none"/>
        </w:rPr>
        <w:t>el freno de las compraventas</w:t>
      </w:r>
      <w:r w:rsidR="00BE749C">
        <w:rPr>
          <w:rFonts w:ascii="Montserrat" w:hAnsi="Montserrat"/>
          <w:b/>
          <w:bCs/>
          <w:color w:val="243962"/>
          <w:sz w:val="32"/>
          <w:szCs w:val="32"/>
          <w:lang w:eastAsia="es-ES"/>
          <w14:ligatures w14:val="none"/>
        </w:rPr>
        <w:t xml:space="preserve"> en un mercado cada vez más caro</w:t>
      </w:r>
      <w:r>
        <w:rPr>
          <w:rFonts w:ascii="Montserrat" w:hAnsi="Montserrat"/>
          <w:b/>
          <w:bCs/>
          <w:color w:val="243962"/>
          <w:sz w:val="32"/>
          <w:szCs w:val="32"/>
          <w:lang w:eastAsia="es-ES"/>
          <w14:ligatures w14:val="none"/>
        </w:rPr>
        <w:t xml:space="preserve">: el importe medio sigue creciendo </w:t>
      </w:r>
    </w:p>
    <w:p w14:paraId="4A95A003" w14:textId="091CCC2E" w:rsidR="001B687B" w:rsidRPr="00CC1125" w:rsidRDefault="00057048" w:rsidP="001B687B">
      <w:pPr>
        <w:pStyle w:val="paragraph"/>
        <w:numPr>
          <w:ilvl w:val="0"/>
          <w:numId w:val="1"/>
        </w:numPr>
        <w:spacing w:before="240"/>
        <w:textAlignment w:val="baseline"/>
        <w:rPr>
          <w:rStyle w:val="normaltextrun"/>
          <w:rFonts w:ascii="Montserrat" w:hAnsi="Montserrat"/>
          <w:b/>
          <w:bCs/>
          <w:color w:val="243962"/>
          <w:sz w:val="32"/>
          <w:szCs w:val="32"/>
        </w:rPr>
      </w:pPr>
      <w:r w:rsidRPr="00CC1125">
        <w:rPr>
          <w:rStyle w:val="normaltextrun"/>
          <w:rFonts w:ascii="Muli" w:hAnsi="Muli"/>
        </w:rPr>
        <w:t xml:space="preserve">Desde el comparador y asesor hipotecario </w:t>
      </w:r>
      <w:r w:rsidR="00823AFA" w:rsidRPr="00CC1125">
        <w:rPr>
          <w:rStyle w:val="normaltextrun"/>
          <w:rFonts w:ascii="Muli" w:hAnsi="Muli"/>
        </w:rPr>
        <w:t>iAhorro analizamos los datos publicados por el Instituto Nacional de Estadística</w:t>
      </w:r>
      <w:r w:rsidR="00956EC3" w:rsidRPr="00CC1125">
        <w:rPr>
          <w:rStyle w:val="normaltextrun"/>
          <w:rFonts w:ascii="Muli" w:hAnsi="Muli"/>
        </w:rPr>
        <w:t xml:space="preserve"> </w:t>
      </w:r>
    </w:p>
    <w:p w14:paraId="6617443D" w14:textId="77777777" w:rsidR="00C1368A" w:rsidRDefault="00CC1125" w:rsidP="001B687B">
      <w:pPr>
        <w:pStyle w:val="paragraph"/>
        <w:numPr>
          <w:ilvl w:val="0"/>
          <w:numId w:val="1"/>
        </w:numPr>
        <w:spacing w:before="240"/>
        <w:textAlignment w:val="baseline"/>
        <w:rPr>
          <w:rStyle w:val="normaltextrun"/>
          <w:rFonts w:ascii="Muli" w:hAnsi="Muli"/>
        </w:rPr>
      </w:pPr>
      <w:r w:rsidRPr="00C1368A">
        <w:rPr>
          <w:rStyle w:val="normaltextrun"/>
          <w:rFonts w:ascii="Muli" w:hAnsi="Muli"/>
        </w:rPr>
        <w:t xml:space="preserve">El número de préstamos </w:t>
      </w:r>
      <w:r w:rsidR="00680B81" w:rsidRPr="00C1368A">
        <w:rPr>
          <w:rStyle w:val="normaltextrun"/>
          <w:rFonts w:ascii="Muli" w:hAnsi="Muli"/>
        </w:rPr>
        <w:t xml:space="preserve">pone fin a dos años de aumentos para </w:t>
      </w:r>
      <w:r w:rsidRPr="00C1368A">
        <w:rPr>
          <w:rStyle w:val="normaltextrun"/>
          <w:rFonts w:ascii="Muli" w:hAnsi="Muli"/>
        </w:rPr>
        <w:t>ca</w:t>
      </w:r>
      <w:r w:rsidR="00975C76" w:rsidRPr="00C1368A">
        <w:rPr>
          <w:rStyle w:val="normaltextrun"/>
          <w:rFonts w:ascii="Muli" w:hAnsi="Muli"/>
        </w:rPr>
        <w:t>e</w:t>
      </w:r>
      <w:r w:rsidR="00680B81" w:rsidRPr="00C1368A">
        <w:rPr>
          <w:rStyle w:val="normaltextrun"/>
          <w:rFonts w:ascii="Muli" w:hAnsi="Muli"/>
        </w:rPr>
        <w:t>r en mayo</w:t>
      </w:r>
      <w:r w:rsidRPr="00C1368A">
        <w:rPr>
          <w:rStyle w:val="normaltextrun"/>
          <w:rFonts w:ascii="Muli" w:hAnsi="Muli"/>
        </w:rPr>
        <w:t xml:space="preserve"> un 0,1% interanual, </w:t>
      </w:r>
      <w:r w:rsidR="00C1368A" w:rsidRPr="00C1368A">
        <w:rPr>
          <w:rStyle w:val="normaltextrun"/>
          <w:rFonts w:ascii="Muli" w:hAnsi="Muli"/>
        </w:rPr>
        <w:t>en línea con el descenso de</w:t>
      </w:r>
      <w:r w:rsidRPr="00C1368A">
        <w:rPr>
          <w:rStyle w:val="normaltextrun"/>
          <w:rFonts w:ascii="Muli" w:hAnsi="Muli"/>
        </w:rPr>
        <w:t xml:space="preserve"> las compraventas</w:t>
      </w:r>
      <w:r w:rsidR="00C1368A" w:rsidRPr="00C1368A">
        <w:rPr>
          <w:rStyle w:val="normaltextrun"/>
          <w:rFonts w:ascii="Muli" w:hAnsi="Muli"/>
        </w:rPr>
        <w:t>, que</w:t>
      </w:r>
      <w:r w:rsidRPr="00C1368A">
        <w:rPr>
          <w:rStyle w:val="normaltextrun"/>
          <w:rFonts w:ascii="Muli" w:hAnsi="Muli"/>
        </w:rPr>
        <w:t xml:space="preserve"> retroceden un 7,3% </w:t>
      </w:r>
    </w:p>
    <w:p w14:paraId="646FDC20" w14:textId="77777777" w:rsidR="00C1368A" w:rsidRDefault="00C1368A" w:rsidP="00C1368A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</w:p>
    <w:p w14:paraId="4E4116A3" w14:textId="0CE9124D" w:rsidR="001B687B" w:rsidRPr="00C1368A" w:rsidRDefault="001B687B" w:rsidP="00C1368A">
      <w:pPr>
        <w:pStyle w:val="paragraph"/>
        <w:spacing w:before="240"/>
        <w:textAlignment w:val="baseline"/>
        <w:rPr>
          <w:rFonts w:ascii="Muli" w:hAnsi="Muli"/>
        </w:rPr>
      </w:pPr>
      <w:r w:rsidRPr="00C1368A">
        <w:rPr>
          <w:rFonts w:ascii="Muli" w:hAnsi="Muli"/>
        </w:rPr>
        <w:t xml:space="preserve">Madrid, </w:t>
      </w:r>
      <w:r w:rsidR="00CC1125" w:rsidRPr="00C1368A">
        <w:rPr>
          <w:rFonts w:ascii="Muli" w:hAnsi="Muli"/>
        </w:rPr>
        <w:t xml:space="preserve">30 de julio de 2026 </w:t>
      </w:r>
    </w:p>
    <w:p w14:paraId="423FDCBA" w14:textId="62B8D493" w:rsidR="00CC1125" w:rsidRDefault="00622FA6" w:rsidP="001B687B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>
        <w:rPr>
          <w:rStyle w:val="normaltextrun"/>
          <w:rFonts w:ascii="Muli" w:hAnsi="Muli"/>
        </w:rPr>
        <w:t>“</w:t>
      </w:r>
      <w:r w:rsidR="00CC1125">
        <w:rPr>
          <w:rStyle w:val="normaltextrun"/>
          <w:rFonts w:ascii="Muli" w:hAnsi="Muli"/>
        </w:rPr>
        <w:t xml:space="preserve">El mercado hipotecario </w:t>
      </w:r>
      <w:r w:rsidR="00680B81">
        <w:rPr>
          <w:rStyle w:val="normaltextrun"/>
          <w:rFonts w:ascii="Muli" w:hAnsi="Muli"/>
        </w:rPr>
        <w:t>pone fin a dos años de una tendencia al alza en la firma de hipotecas</w:t>
      </w:r>
      <w:r w:rsidR="006F0D94">
        <w:rPr>
          <w:rStyle w:val="normaltextrun"/>
          <w:rFonts w:ascii="Muli" w:hAnsi="Muli"/>
        </w:rPr>
        <w:t>. Según los últimos datos publicados por el Instituto Nacional de Estadística (INE), el número de hipotecas constituidas sobre viviendas alcanzó las 4</w:t>
      </w:r>
      <w:r w:rsidR="00975C76">
        <w:rPr>
          <w:rStyle w:val="normaltextrun"/>
          <w:rFonts w:ascii="Muli" w:hAnsi="Muli"/>
        </w:rPr>
        <w:t>2</w:t>
      </w:r>
      <w:r w:rsidR="006F0D94">
        <w:rPr>
          <w:rStyle w:val="normaltextrun"/>
          <w:rFonts w:ascii="Muli" w:hAnsi="Muli"/>
        </w:rPr>
        <w:t xml:space="preserve">.213 </w:t>
      </w:r>
      <w:r w:rsidR="00BE749C">
        <w:rPr>
          <w:rStyle w:val="normaltextrun"/>
          <w:rFonts w:ascii="Muli" w:hAnsi="Muli"/>
        </w:rPr>
        <w:t>operaciones, lo</w:t>
      </w:r>
      <w:r w:rsidR="006F0D94">
        <w:rPr>
          <w:rStyle w:val="normaltextrun"/>
          <w:rFonts w:ascii="Muli" w:hAnsi="Muli"/>
        </w:rPr>
        <w:t xml:space="preserve"> que supone una bajada</w:t>
      </w:r>
      <w:r w:rsidR="00C53DDB">
        <w:rPr>
          <w:rStyle w:val="normaltextrun"/>
          <w:rFonts w:ascii="Muli" w:hAnsi="Muli"/>
        </w:rPr>
        <w:t xml:space="preserve"> </w:t>
      </w:r>
      <w:r w:rsidR="006F0D94">
        <w:rPr>
          <w:rStyle w:val="normaltextrun"/>
          <w:rFonts w:ascii="Muli" w:hAnsi="Muli"/>
        </w:rPr>
        <w:t>de</w:t>
      </w:r>
      <w:r w:rsidR="00C53DDB">
        <w:rPr>
          <w:rStyle w:val="normaltextrun"/>
          <w:rFonts w:ascii="Muli" w:hAnsi="Muli"/>
        </w:rPr>
        <w:t>l</w:t>
      </w:r>
      <w:r w:rsidR="006F0D94">
        <w:rPr>
          <w:rStyle w:val="normaltextrun"/>
          <w:rFonts w:ascii="Muli" w:hAnsi="Muli"/>
        </w:rPr>
        <w:t xml:space="preserve"> -0,1%. </w:t>
      </w:r>
    </w:p>
    <w:p w14:paraId="701650EC" w14:textId="57A12048" w:rsidR="00CA6EA7" w:rsidRDefault="00CA6EA7" w:rsidP="001B687B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>
        <w:rPr>
          <w:rStyle w:val="normaltextrun"/>
          <w:rFonts w:ascii="Muli" w:hAnsi="Muli"/>
        </w:rPr>
        <w:t>Uno de los aspectos más destacados vuelve a ser el importe medio de las hipotecas.</w:t>
      </w:r>
      <w:r w:rsidR="00BE749C">
        <w:rPr>
          <w:rStyle w:val="normaltextrun"/>
          <w:rFonts w:ascii="Muli" w:hAnsi="Muli"/>
        </w:rPr>
        <w:t xml:space="preserve"> Pedir una hipoteca cuesta cada vez más</w:t>
      </w:r>
      <w:r w:rsidR="000833F9">
        <w:rPr>
          <w:rStyle w:val="normaltextrun"/>
          <w:rFonts w:ascii="Muli" w:hAnsi="Muli"/>
        </w:rPr>
        <w:t>: e</w:t>
      </w:r>
      <w:r>
        <w:rPr>
          <w:rStyle w:val="normaltextrun"/>
          <w:rFonts w:ascii="Muli" w:hAnsi="Muli"/>
        </w:rPr>
        <w:t xml:space="preserve">n mayo </w:t>
      </w:r>
      <w:r w:rsidR="000833F9">
        <w:rPr>
          <w:rStyle w:val="normaltextrun"/>
          <w:rFonts w:ascii="Muli" w:hAnsi="Muli"/>
        </w:rPr>
        <w:t xml:space="preserve">el precio </w:t>
      </w:r>
      <w:r>
        <w:rPr>
          <w:rStyle w:val="normaltextrun"/>
          <w:rFonts w:ascii="Muli" w:hAnsi="Muli"/>
        </w:rPr>
        <w:t>se situó en 174.866€, un 9,7% más que en 2025, reflejando que el encarecimiento de la vivienda continúa trasladándose al importe medo solicitado por los compradores. Este incremento del capital financiado se produce pese a que el número de operaciones permanece prácticamente estable. Se trata de una combinación que evidencia que el p</w:t>
      </w:r>
      <w:r w:rsidR="001A5341">
        <w:rPr>
          <w:rStyle w:val="normaltextrun"/>
          <w:rFonts w:ascii="Muli" w:hAnsi="Muli"/>
        </w:rPr>
        <w:t>r</w:t>
      </w:r>
      <w:r>
        <w:rPr>
          <w:rStyle w:val="normaltextrun"/>
          <w:rFonts w:ascii="Muli" w:hAnsi="Muli"/>
        </w:rPr>
        <w:t xml:space="preserve">ecio de acceso a la vivienda continúa aumentando incluso en un contexto de moderación de la demanda. </w:t>
      </w:r>
      <w:r w:rsidR="00975C76">
        <w:rPr>
          <w:rStyle w:val="normaltextrun"/>
          <w:rFonts w:ascii="Muli" w:hAnsi="Muli"/>
        </w:rPr>
        <w:t>El importe medio de las hipotecas sobre el total de las fincas inscritas en los registros de propiedad creció en mayo un 12,1%</w:t>
      </w:r>
      <w:r w:rsidR="00AF4B78">
        <w:rPr>
          <w:rStyle w:val="normaltextrun"/>
          <w:rFonts w:ascii="Muli" w:hAnsi="Muli"/>
        </w:rPr>
        <w:t xml:space="preserve"> respecto al año pasado. </w:t>
      </w:r>
    </w:p>
    <w:p w14:paraId="4A755D93" w14:textId="345228B6" w:rsidR="00CA6EA7" w:rsidRDefault="00CA6EA7" w:rsidP="001B687B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>
        <w:rPr>
          <w:rStyle w:val="normaltextrun"/>
          <w:rFonts w:ascii="Muli" w:hAnsi="Muli"/>
        </w:rPr>
        <w:t xml:space="preserve">El tipo medio </w:t>
      </w:r>
      <w:r w:rsidR="00680B81">
        <w:rPr>
          <w:rStyle w:val="normaltextrun"/>
          <w:rFonts w:ascii="Muli" w:hAnsi="Muli"/>
        </w:rPr>
        <w:t xml:space="preserve">de interés aún sigue por debajo del 3%. La cifra </w:t>
      </w:r>
      <w:r>
        <w:rPr>
          <w:rStyle w:val="normaltextrun"/>
          <w:rFonts w:ascii="Muli" w:hAnsi="Muli"/>
        </w:rPr>
        <w:t>aplicad</w:t>
      </w:r>
      <w:r w:rsidR="00680B81">
        <w:rPr>
          <w:rStyle w:val="normaltextrun"/>
          <w:rFonts w:ascii="Muli" w:hAnsi="Muli"/>
        </w:rPr>
        <w:t>a</w:t>
      </w:r>
      <w:r>
        <w:rPr>
          <w:rStyle w:val="normaltextrun"/>
          <w:rFonts w:ascii="Muli" w:hAnsi="Muli"/>
        </w:rPr>
        <w:t xml:space="preserve"> a las nuevas hipotecas se situó en el 2,98% frente al</w:t>
      </w:r>
      <w:r w:rsidR="00C00774">
        <w:rPr>
          <w:rStyle w:val="normaltextrun"/>
          <w:rFonts w:ascii="Muli" w:hAnsi="Muli"/>
        </w:rPr>
        <w:t xml:space="preserve"> 2,</w:t>
      </w:r>
      <w:r>
        <w:rPr>
          <w:rStyle w:val="normaltextrun"/>
          <w:rFonts w:ascii="Muli" w:hAnsi="Muli"/>
        </w:rPr>
        <w:t>90% registrado en abril</w:t>
      </w:r>
      <w:r w:rsidR="00680B81">
        <w:rPr>
          <w:rStyle w:val="normaltextrun"/>
          <w:rFonts w:ascii="Muli" w:hAnsi="Muli"/>
        </w:rPr>
        <w:t>, por encima del 2,97% del mes de noviembre de 2025 y al mismo nivel del dato visto en abril de 2025</w:t>
      </w:r>
      <w:r w:rsidR="00975C76">
        <w:rPr>
          <w:rStyle w:val="normaltextrun"/>
          <w:rFonts w:ascii="Muli" w:hAnsi="Muli"/>
        </w:rPr>
        <w:t xml:space="preserve">. </w:t>
      </w:r>
      <w:r w:rsidR="00680B81">
        <w:rPr>
          <w:rStyle w:val="normaltextrun"/>
          <w:rFonts w:ascii="Muli" w:hAnsi="Muli"/>
        </w:rPr>
        <w:t xml:space="preserve">En este escenario, </w:t>
      </w:r>
      <w:r w:rsidR="00975C76">
        <w:rPr>
          <w:rStyle w:val="normaltextrun"/>
          <w:rFonts w:ascii="Muli" w:hAnsi="Muli"/>
        </w:rPr>
        <w:t xml:space="preserve">el mercado continúa inclinado hacia los préstamos a tipo fijo, que representaron el 60,9% de las nuevas operaciones frente al 39,1% de las variables. El interés medio </w:t>
      </w:r>
      <w:r w:rsidR="00C00774">
        <w:rPr>
          <w:rStyle w:val="normaltextrun"/>
          <w:rFonts w:ascii="Muli" w:hAnsi="Muli"/>
        </w:rPr>
        <w:t xml:space="preserve">al inicio </w:t>
      </w:r>
      <w:r w:rsidR="00975C76">
        <w:rPr>
          <w:rStyle w:val="normaltextrun"/>
          <w:rFonts w:ascii="Muli" w:hAnsi="Muli"/>
        </w:rPr>
        <w:t xml:space="preserve">fue del 2,96% en las hipotecas fijas y del 3% en las variables. </w:t>
      </w:r>
    </w:p>
    <w:p w14:paraId="65D544CE" w14:textId="63D0FCE4" w:rsidR="000833F9" w:rsidRDefault="00C1368A" w:rsidP="001B687B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>
        <w:rPr>
          <w:rStyle w:val="normaltextrun"/>
          <w:rFonts w:ascii="Muli" w:hAnsi="Muli"/>
        </w:rPr>
        <w:t>El volumen de préstamos firmados se ha estabilizado tras 22 meses de alzas en base a un ritmo que comienza a estabilizarse, mientras que l</w:t>
      </w:r>
      <w:r w:rsidR="00975C76">
        <w:rPr>
          <w:rStyle w:val="normaltextrun"/>
          <w:rFonts w:ascii="Muli" w:hAnsi="Muli"/>
        </w:rPr>
        <w:t>as compraventas de vivienda registran una caída interanual del 7,3% hasta las 56.462 operaciones, tanto por el descenso de la vivienda nueva (-6%) como el de la usada</w:t>
      </w:r>
      <w:r w:rsidR="000833F9">
        <w:rPr>
          <w:rStyle w:val="normaltextrun"/>
          <w:rFonts w:ascii="Muli" w:hAnsi="Muli"/>
        </w:rPr>
        <w:t xml:space="preserve"> </w:t>
      </w:r>
      <w:r w:rsidR="00975C76">
        <w:rPr>
          <w:rStyle w:val="normaltextrun"/>
          <w:rFonts w:ascii="Muli" w:hAnsi="Muli"/>
        </w:rPr>
        <w:t>(</w:t>
      </w:r>
      <w:r w:rsidR="001A5341">
        <w:rPr>
          <w:rStyle w:val="normaltextrun"/>
          <w:rFonts w:ascii="Muli" w:hAnsi="Muli"/>
        </w:rPr>
        <w:t>-</w:t>
      </w:r>
      <w:r w:rsidR="00975C76">
        <w:rPr>
          <w:rStyle w:val="normaltextrun"/>
          <w:rFonts w:ascii="Muli" w:hAnsi="Muli"/>
        </w:rPr>
        <w:t xml:space="preserve">7,6%).  Este comportamiento sugiere que la actividad inmobiliaria está entrando en una fase de mayor equilibrio tras </w:t>
      </w:r>
      <w:r w:rsidR="000833F9">
        <w:rPr>
          <w:rStyle w:val="normaltextrun"/>
          <w:rFonts w:ascii="Muli" w:hAnsi="Muli"/>
        </w:rPr>
        <w:t xml:space="preserve">observar </w:t>
      </w:r>
      <w:r w:rsidR="00975C76">
        <w:rPr>
          <w:rStyle w:val="normaltextrun"/>
          <w:rFonts w:ascii="Muli" w:hAnsi="Muli"/>
        </w:rPr>
        <w:t xml:space="preserve">varios meses de elevada intensidad, aunque la demanda continúa encontrando financiación en condiciones relativamente favorables. </w:t>
      </w:r>
    </w:p>
    <w:p w14:paraId="7E127A15" w14:textId="77777777" w:rsidR="00680B81" w:rsidRDefault="00680B81" w:rsidP="001B687B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</w:p>
    <w:p w14:paraId="3BF5A928" w14:textId="3727872F" w:rsidR="00975C76" w:rsidRDefault="00C53DDB" w:rsidP="001B687B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>
        <w:rPr>
          <w:rStyle w:val="normaltextrun"/>
          <w:rFonts w:ascii="Muli" w:hAnsi="Muli"/>
        </w:rPr>
        <w:lastRenderedPageBreak/>
        <w:t>Los clientes además son conservadores</w:t>
      </w:r>
      <w:r w:rsidR="000833F9">
        <w:rPr>
          <w:rStyle w:val="normaltextrun"/>
          <w:rFonts w:ascii="Muli" w:hAnsi="Muli"/>
        </w:rPr>
        <w:t xml:space="preserve"> a la hora de realizar cambios en los productos contratados</w:t>
      </w:r>
      <w:r>
        <w:rPr>
          <w:rStyle w:val="normaltextrun"/>
          <w:rFonts w:ascii="Muli" w:hAnsi="Muli"/>
        </w:rPr>
        <w:t xml:space="preserve">: el número de hipotecas con cambios en sus condiciones inscritas en los registros de propiedad disminuyó un 17,1% en mayo en tasa anual. Las novaciones o cambios con el mismo banco se redujeron un 23,4%. Sin embargo, las subrogaciones al deudor o cambio de titular aumentaron un 4% y los cambios de entidad lo hicieron en un 14,5%. Del total de cambios en las condiciones, la mayoría (82,9%) se debió a modificaciones en los tipos de interés buscando la mejor financiación. </w:t>
      </w:r>
    </w:p>
    <w:p w14:paraId="336CD7B4" w14:textId="4F025792" w:rsidR="00C53DDB" w:rsidRDefault="00C53DDB" w:rsidP="001B687B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>
        <w:rPr>
          <w:rStyle w:val="normaltextrun"/>
          <w:rFonts w:ascii="Muli" w:hAnsi="Muli"/>
        </w:rPr>
        <w:t>Por comunidades autónomas, Navarra</w:t>
      </w:r>
      <w:r w:rsidR="00680B81">
        <w:rPr>
          <w:rStyle w:val="normaltextrun"/>
          <w:rFonts w:ascii="Muli" w:hAnsi="Muli"/>
        </w:rPr>
        <w:t xml:space="preserve"> lidera el crecimiento en el número de préstamos con un 33,5% más que el año pasado. Le sigue</w:t>
      </w:r>
      <w:r>
        <w:rPr>
          <w:rStyle w:val="normaltextrun"/>
          <w:rFonts w:ascii="Muli" w:hAnsi="Muli"/>
        </w:rPr>
        <w:t xml:space="preserve"> Canarias (+16,5%) y Cataluña (+9,3%) </w:t>
      </w:r>
      <w:r w:rsidR="006F1F24">
        <w:rPr>
          <w:rStyle w:val="normaltextrun"/>
          <w:rFonts w:ascii="Muli" w:hAnsi="Muli"/>
        </w:rPr>
        <w:t xml:space="preserve">registraron los mayores incrementos en el número de hipotecas constituidas sobre viviendas respecto a mayo de 2025. En el lado contrario se sitúan Illes Balears </w:t>
      </w:r>
      <w:proofErr w:type="gramStart"/>
      <w:r w:rsidR="00680B81">
        <w:rPr>
          <w:rStyle w:val="normaltextrun"/>
          <w:rFonts w:ascii="Muli" w:hAnsi="Muli"/>
        </w:rPr>
        <w:t xml:space="preserve">   </w:t>
      </w:r>
      <w:r w:rsidR="006F1F24">
        <w:rPr>
          <w:rStyle w:val="normaltextrun"/>
          <w:rFonts w:ascii="Muli" w:hAnsi="Muli"/>
        </w:rPr>
        <w:t>(</w:t>
      </w:r>
      <w:proofErr w:type="gramEnd"/>
      <w:r w:rsidR="006F1F24">
        <w:rPr>
          <w:rStyle w:val="normaltextrun"/>
          <w:rFonts w:ascii="Muli" w:hAnsi="Muli"/>
        </w:rPr>
        <w:t xml:space="preserve">-19,6%), Cantabria (-17,9%) y Región de Murcia (-13,2%) que protagonizaron los mayores descensos. En cuanto a las compraventas, únicamente Extremadura (+2,6%) y Andalucía (+2,2%) consiguieron cerrar mayo con crecimientos interanuales, mientras que Cantabria (-28,6%), Murcia (-19,1%) e Illes Balears (-16,8%) lideraron las caídas. </w:t>
      </w:r>
    </w:p>
    <w:p w14:paraId="17BC77D9" w14:textId="631EC0A1" w:rsidR="006F1F24" w:rsidRDefault="006F1F24" w:rsidP="001B687B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  <w:r>
        <w:rPr>
          <w:rStyle w:val="normaltextrun"/>
          <w:rFonts w:ascii="Muli" w:hAnsi="Muli"/>
        </w:rPr>
        <w:t xml:space="preserve">Los datos de mayo dibujan un mercado que comienza a normalizar su ritmo tras el fuerte dinamismo observado durante los últimos trimestres. </w:t>
      </w:r>
      <w:r w:rsidR="000833F9">
        <w:rPr>
          <w:rStyle w:val="normaltextrun"/>
          <w:rFonts w:ascii="Muli" w:hAnsi="Muli"/>
        </w:rPr>
        <w:t>El mercado mira de cerca el comportamiento del precio de la vivienda, que continúa siendo el principal factor que explica el aumento del importe medio de las hipotecas.</w:t>
      </w:r>
      <w:r w:rsidR="00622FA6">
        <w:rPr>
          <w:rStyle w:val="normaltextrun"/>
          <w:rFonts w:ascii="Muli" w:hAnsi="Muli"/>
        </w:rPr>
        <w:t xml:space="preserve"> </w:t>
      </w:r>
      <w:r w:rsidR="000833F9">
        <w:rPr>
          <w:rStyle w:val="normaltextrun"/>
          <w:rFonts w:ascii="Muli" w:hAnsi="Muli"/>
        </w:rPr>
        <w:t>No obstante, a</w:t>
      </w:r>
      <w:r>
        <w:rPr>
          <w:rStyle w:val="normaltextrun"/>
          <w:rFonts w:ascii="Muli" w:hAnsi="Muli"/>
        </w:rPr>
        <w:t xml:space="preserve">unque las compraventas pierden intensidad, el crédito hipotecario mantiene un comportamiento mucho más sólido gracias a unos tipos de interés </w:t>
      </w:r>
      <w:r w:rsidR="000833F9">
        <w:rPr>
          <w:rStyle w:val="normaltextrun"/>
          <w:rFonts w:ascii="Muli" w:hAnsi="Muli"/>
        </w:rPr>
        <w:t xml:space="preserve">que todavía están </w:t>
      </w:r>
      <w:r>
        <w:rPr>
          <w:rStyle w:val="normaltextrun"/>
          <w:rFonts w:ascii="Muli" w:hAnsi="Muli"/>
        </w:rPr>
        <w:t>estabilizados y a una demanda que sigue encontrando oportunidades de financiación. La evolución de los próximos meses dependerá de</w:t>
      </w:r>
      <w:r w:rsidR="000833F9">
        <w:rPr>
          <w:rStyle w:val="normaltextrun"/>
          <w:rFonts w:ascii="Muli" w:hAnsi="Muli"/>
        </w:rPr>
        <w:t xml:space="preserve"> la reanudación de las conversaciones entre Estados Unidos e Irán, el precio del petróleo y </w:t>
      </w:r>
      <w:r>
        <w:rPr>
          <w:rStyle w:val="normaltextrun"/>
          <w:rFonts w:ascii="Muli" w:hAnsi="Muli"/>
        </w:rPr>
        <w:t>las decisiones del Banco Central Europeo (BCE) sobre el precio del dinero</w:t>
      </w:r>
      <w:r w:rsidR="000833F9">
        <w:rPr>
          <w:rStyle w:val="normaltextrun"/>
          <w:rFonts w:ascii="Muli" w:hAnsi="Muli"/>
        </w:rPr>
        <w:t>.</w:t>
      </w:r>
      <w:r w:rsidR="00622FA6">
        <w:rPr>
          <w:rStyle w:val="normaltextrun"/>
          <w:rFonts w:ascii="Muli" w:hAnsi="Muli"/>
        </w:rPr>
        <w:t>”</w:t>
      </w:r>
    </w:p>
    <w:p w14:paraId="43CDF83F" w14:textId="77777777" w:rsidR="006F1F24" w:rsidRDefault="006F1F24" w:rsidP="001B687B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</w:p>
    <w:p w14:paraId="538E4C10" w14:textId="77777777" w:rsidR="00CC1125" w:rsidRDefault="00CC1125" w:rsidP="001B687B">
      <w:pPr>
        <w:pStyle w:val="paragraph"/>
        <w:spacing w:before="240"/>
        <w:textAlignment w:val="baseline"/>
        <w:rPr>
          <w:rStyle w:val="normaltextrun"/>
          <w:rFonts w:ascii="Muli" w:hAnsi="Muli"/>
        </w:rPr>
      </w:pPr>
    </w:p>
    <w:p w14:paraId="0586C80F" w14:textId="77777777" w:rsidR="001B687B" w:rsidRDefault="001B687B" w:rsidP="001B687B">
      <w:pPr>
        <w:rPr>
          <w:rStyle w:val="contentpasted0"/>
          <w:rFonts w:ascii="Muli" w:hAnsi="Muli"/>
          <w:color w:val="000000"/>
          <w:u w:val="single"/>
        </w:rPr>
      </w:pPr>
    </w:p>
    <w:p w14:paraId="46042B2C" w14:textId="77777777" w:rsidR="001B687B" w:rsidRDefault="001B687B" w:rsidP="001B687B">
      <w:pPr>
        <w:rPr>
          <w:rStyle w:val="contentpasted0"/>
          <w:rFonts w:ascii="Muli" w:hAnsi="Muli"/>
          <w:color w:val="000000"/>
          <w:u w:val="single"/>
        </w:rPr>
      </w:pPr>
      <w:r>
        <w:rPr>
          <w:rStyle w:val="contentpasted0"/>
          <w:rFonts w:ascii="Muli" w:hAnsi="Muli"/>
          <w:color w:val="000000"/>
          <w:u w:val="single"/>
        </w:rPr>
        <w:t>Laura Martínez, portavoz de iAhorro.</w:t>
      </w:r>
    </w:p>
    <w:p w14:paraId="28F923B5" w14:textId="77777777" w:rsidR="001B687B" w:rsidRDefault="001B687B" w:rsidP="001B687B">
      <w:pPr>
        <w:rPr>
          <w:rStyle w:val="contentpasted0"/>
          <w:rFonts w:ascii="Muli" w:hAnsi="Muli"/>
          <w:color w:val="000000"/>
          <w:u w:val="single"/>
        </w:rPr>
      </w:pPr>
    </w:p>
    <w:p w14:paraId="78DB9FBB" w14:textId="77777777" w:rsidR="001B687B" w:rsidRDefault="001B687B" w:rsidP="001B687B">
      <w:pPr>
        <w:rPr>
          <w:rStyle w:val="contentpasted0"/>
          <w:rFonts w:ascii="Muli" w:hAnsi="Muli"/>
          <w:color w:val="000000"/>
          <w:u w:val="single"/>
        </w:rPr>
      </w:pPr>
    </w:p>
    <w:p w14:paraId="1C8BC5FE" w14:textId="77777777" w:rsidR="001B687B" w:rsidRDefault="001B687B" w:rsidP="001B687B">
      <w:pPr>
        <w:spacing w:after="160"/>
        <w:rPr>
          <w:rStyle w:val="contentpasted0"/>
          <w:rFonts w:ascii="Muli" w:hAnsi="Muli"/>
          <w:color w:val="000000"/>
          <w:sz w:val="24"/>
          <w:szCs w:val="24"/>
          <w:lang w:val="es-ES_tradnl"/>
        </w:rPr>
      </w:pPr>
      <w:r>
        <w:rPr>
          <w:rStyle w:val="contentpasted0"/>
          <w:rFonts w:ascii="Muli" w:hAnsi="Muli"/>
          <w:b/>
          <w:bCs/>
          <w:color w:val="243962"/>
          <w:sz w:val="24"/>
          <w:szCs w:val="24"/>
          <w:lang w:val="es-ES_tradnl"/>
        </w:rPr>
        <w:t xml:space="preserve">Si necesita más información o declaraciones en formato audiovisual: </w:t>
      </w:r>
      <w:r>
        <w:rPr>
          <w:rStyle w:val="contentpasted0"/>
          <w:rFonts w:ascii="Muli" w:hAnsi="Muli"/>
          <w:color w:val="000000"/>
          <w:sz w:val="24"/>
          <w:szCs w:val="24"/>
          <w:lang w:val="es-ES_tradnl"/>
        </w:rPr>
        <w:t>Póngase en contacto con el departamento de Comunicación. </w:t>
      </w:r>
    </w:p>
    <w:tbl>
      <w:tblPr>
        <w:tblW w:w="7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2547"/>
        <w:gridCol w:w="2529"/>
      </w:tblGrid>
      <w:tr w:rsidR="001B687B" w:rsidRPr="00622FA6" w14:paraId="49A6C4DA" w14:textId="77777777" w:rsidTr="003C3046">
        <w:trPr>
          <w:trHeight w:val="132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75AE5" w14:textId="77777777" w:rsidR="001B687B" w:rsidRDefault="001B687B" w:rsidP="003C3046">
            <w:pPr>
              <w:pStyle w:val="Piedepgina"/>
              <w:spacing w:line="252" w:lineRule="auto"/>
              <w:rPr>
                <w:rFonts w:ascii="Aptos" w:hAnsi="Aptos" w:cs="Aptos"/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C8EADB4" wp14:editId="38AACC86">
                  <wp:extent cx="1143000" cy="565999"/>
                  <wp:effectExtent l="0" t="0" r="0" b="0"/>
                  <wp:docPr id="1332602733" name="Imagen 1" descr="Logotipo&#10;&#10;Descripción generada automá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630877-8283-4961-A7B0-25A4192B7CD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384" cy="568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6D0D2" w14:textId="77777777" w:rsidR="001B687B" w:rsidRDefault="001B687B" w:rsidP="003C3046">
            <w:pPr>
              <w:pStyle w:val="Piedepgina"/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69A5C2A8" w14:textId="77777777" w:rsidR="001B687B" w:rsidRDefault="001B687B" w:rsidP="003C3046">
            <w:pPr>
              <w:pStyle w:val="Piedepgina"/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172993FB" w14:textId="77777777" w:rsidR="001B687B" w:rsidRDefault="001B687B" w:rsidP="003C3046">
            <w:pPr>
              <w:pStyle w:val="Piedepgina"/>
              <w:spacing w:line="252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Laura Martínez</w:t>
            </w:r>
            <w:r>
              <w:rPr>
                <w:sz w:val="18"/>
                <w:szCs w:val="18"/>
              </w:rPr>
              <w:t xml:space="preserve"> – 686 688 757</w:t>
            </w:r>
            <w:r>
              <w:rPr>
                <w:sz w:val="18"/>
                <w:szCs w:val="18"/>
              </w:rPr>
              <w:br/>
            </w:r>
            <w:hyperlink r:id="rId6" w:history="1">
              <w:r w:rsidRPr="009D144E">
                <w:rPr>
                  <w:rStyle w:val="Hipervnculo"/>
                  <w:sz w:val="18"/>
                  <w:szCs w:val="18"/>
                </w:rPr>
                <w:t>laura.martinez@iahorro.com</w:t>
              </w:r>
            </w:hyperlink>
          </w:p>
          <w:p w14:paraId="311EBBB5" w14:textId="77777777" w:rsidR="001B687B" w:rsidRDefault="001B687B" w:rsidP="003C3046">
            <w:pPr>
              <w:pStyle w:val="Piedepgina"/>
              <w:spacing w:line="252" w:lineRule="auto"/>
              <w:jc w:val="center"/>
              <w:rPr>
                <w:b/>
                <w:bCs/>
                <w:sz w:val="18"/>
                <w:szCs w:val="18"/>
                <w:lang w:val="pt-PT"/>
              </w:rPr>
            </w:pPr>
          </w:p>
          <w:p w14:paraId="0313D916" w14:textId="77777777" w:rsidR="001B687B" w:rsidRDefault="001B687B" w:rsidP="003C3046">
            <w:pPr>
              <w:pStyle w:val="Piedepgina"/>
              <w:spacing w:line="252" w:lineRule="auto"/>
              <w:jc w:val="center"/>
              <w:rPr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BDBAA" w14:textId="77777777" w:rsidR="001B687B" w:rsidRDefault="001B687B" w:rsidP="003C3046">
            <w:pPr>
              <w:pStyle w:val="Piedepgina"/>
              <w:spacing w:line="252" w:lineRule="auto"/>
              <w:rPr>
                <w:b/>
                <w:bCs/>
                <w:sz w:val="18"/>
                <w:szCs w:val="18"/>
                <w:lang w:val="pt-PT"/>
              </w:rPr>
            </w:pPr>
            <w:r>
              <w:rPr>
                <w:b/>
                <w:bCs/>
                <w:sz w:val="18"/>
                <w:szCs w:val="18"/>
                <w:lang w:val="pt-PT"/>
              </w:rPr>
              <w:t>Noelia Pérez</w:t>
            </w:r>
            <w:r>
              <w:rPr>
                <w:sz w:val="18"/>
                <w:szCs w:val="18"/>
                <w:lang w:val="pt-PT"/>
              </w:rPr>
              <w:t xml:space="preserve"> – 653 247 167</w:t>
            </w:r>
            <w:r>
              <w:rPr>
                <w:sz w:val="18"/>
                <w:szCs w:val="18"/>
                <w:lang w:val="pt-PT"/>
              </w:rPr>
              <w:br/>
            </w:r>
            <w:hyperlink r:id="rId7" w:history="1">
              <w:r>
                <w:rPr>
                  <w:rStyle w:val="Hipervnculo"/>
                  <w:sz w:val="18"/>
                  <w:szCs w:val="18"/>
                  <w:lang w:val="pt-PT"/>
                </w:rPr>
                <w:t>noelia.perez@iahorro.com</w:t>
              </w:r>
            </w:hyperlink>
          </w:p>
        </w:tc>
      </w:tr>
      <w:bookmarkEnd w:id="0"/>
    </w:tbl>
    <w:p w14:paraId="4419903C" w14:textId="77777777" w:rsidR="00381D98" w:rsidRPr="00622FA6" w:rsidRDefault="00381D98">
      <w:pPr>
        <w:rPr>
          <w:lang w:val="pt-PT"/>
        </w:rPr>
      </w:pPr>
    </w:p>
    <w:sectPr w:rsidR="00381D98" w:rsidRPr="00622F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uli">
    <w:altName w:val="Calibri"/>
    <w:charset w:val="00"/>
    <w:family w:val="auto"/>
    <w:pitch w:val="variable"/>
    <w:sig w:usb0="A00000FF" w:usb1="5000204B" w:usb2="00000000" w:usb3="00000000" w:csb0="00000193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C3F8B"/>
    <w:multiLevelType w:val="hybridMultilevel"/>
    <w:tmpl w:val="6B9E24BC"/>
    <w:lvl w:ilvl="0" w:tplc="78FCE1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277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B"/>
    <w:rsid w:val="00057048"/>
    <w:rsid w:val="000833F9"/>
    <w:rsid w:val="00092EB4"/>
    <w:rsid w:val="001403C4"/>
    <w:rsid w:val="0014369C"/>
    <w:rsid w:val="00186E3C"/>
    <w:rsid w:val="001A5341"/>
    <w:rsid w:val="001B0F85"/>
    <w:rsid w:val="001B687B"/>
    <w:rsid w:val="001E7630"/>
    <w:rsid w:val="00381D98"/>
    <w:rsid w:val="003C3046"/>
    <w:rsid w:val="0040546D"/>
    <w:rsid w:val="004F76A9"/>
    <w:rsid w:val="00622FA6"/>
    <w:rsid w:val="00652FF2"/>
    <w:rsid w:val="00680B81"/>
    <w:rsid w:val="006F0D94"/>
    <w:rsid w:val="006F1F24"/>
    <w:rsid w:val="00823AFA"/>
    <w:rsid w:val="00827DCD"/>
    <w:rsid w:val="00844CA8"/>
    <w:rsid w:val="008B27CD"/>
    <w:rsid w:val="008E01D6"/>
    <w:rsid w:val="009229D5"/>
    <w:rsid w:val="00956EC3"/>
    <w:rsid w:val="00960569"/>
    <w:rsid w:val="00975C76"/>
    <w:rsid w:val="009B1DAA"/>
    <w:rsid w:val="00A464BF"/>
    <w:rsid w:val="00AF4B78"/>
    <w:rsid w:val="00B7436F"/>
    <w:rsid w:val="00BC31BD"/>
    <w:rsid w:val="00BC45F7"/>
    <w:rsid w:val="00BD79B8"/>
    <w:rsid w:val="00BE749C"/>
    <w:rsid w:val="00C00774"/>
    <w:rsid w:val="00C1368A"/>
    <w:rsid w:val="00C2376E"/>
    <w:rsid w:val="00C53DDB"/>
    <w:rsid w:val="00C5629A"/>
    <w:rsid w:val="00CA6EA7"/>
    <w:rsid w:val="00CC1125"/>
    <w:rsid w:val="00CD6953"/>
    <w:rsid w:val="00D41B63"/>
    <w:rsid w:val="00DD3B6E"/>
    <w:rsid w:val="00ED09E9"/>
    <w:rsid w:val="00F03AE6"/>
    <w:rsid w:val="00F6617C"/>
    <w:rsid w:val="00F82F1E"/>
    <w:rsid w:val="00FD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A2D1"/>
  <w15:chartTrackingRefBased/>
  <w15:docId w15:val="{78F764F0-80FC-4AC4-9C5E-11EB227D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87B"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1B6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6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6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6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6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68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68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68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68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6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6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6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68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68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68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68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68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68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B68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B6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6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B6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6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B68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B68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B68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6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68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B687B"/>
    <w:rPr>
      <w:b/>
      <w:bCs/>
      <w:smallCaps/>
      <w:color w:val="0F4761" w:themeColor="accent1" w:themeShade="BF"/>
      <w:spacing w:val="5"/>
    </w:rPr>
  </w:style>
  <w:style w:type="character" w:customStyle="1" w:styleId="contentpasted0">
    <w:name w:val="contentpasted0"/>
    <w:basedOn w:val="Fuentedeprrafopredeter"/>
    <w:rsid w:val="001B687B"/>
  </w:style>
  <w:style w:type="paragraph" w:customStyle="1" w:styleId="paragraph">
    <w:name w:val="paragraph"/>
    <w:basedOn w:val="Normal"/>
    <w:rsid w:val="001B687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s-ES"/>
      <w14:ligatures w14:val="none"/>
    </w:rPr>
  </w:style>
  <w:style w:type="character" w:customStyle="1" w:styleId="normaltextrun">
    <w:name w:val="normaltextrun"/>
    <w:basedOn w:val="Fuentedeprrafopredeter"/>
    <w:rsid w:val="001B687B"/>
  </w:style>
  <w:style w:type="paragraph" w:styleId="Piedepgina">
    <w:name w:val="footer"/>
    <w:basedOn w:val="Normal"/>
    <w:link w:val="PiedepginaCar"/>
    <w:uiPriority w:val="99"/>
    <w:unhideWhenUsed/>
    <w:rsid w:val="001B687B"/>
    <w:pPr>
      <w:tabs>
        <w:tab w:val="center" w:pos="4252"/>
        <w:tab w:val="right" w:pos="8504"/>
      </w:tabs>
    </w:pPr>
    <w:rPr>
      <w:rFonts w:asciiTheme="minorHAnsi" w:hAnsiTheme="minorHAnsi" w:cstheme="minorBidi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B687B"/>
  </w:style>
  <w:style w:type="character" w:styleId="Hipervnculo">
    <w:name w:val="Hyperlink"/>
    <w:basedOn w:val="Fuentedeprrafopredeter"/>
    <w:uiPriority w:val="99"/>
    <w:unhideWhenUsed/>
    <w:rsid w:val="001B687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6617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elia.perez@iahorr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ra.martinez@iahorr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769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 Perez</dc:creator>
  <cp:keywords/>
  <dc:description/>
  <cp:lastModifiedBy>Nerea Gastesi</cp:lastModifiedBy>
  <cp:revision>2</cp:revision>
  <dcterms:created xsi:type="dcterms:W3CDTF">2026-08-14T10:41:00Z</dcterms:created>
  <dcterms:modified xsi:type="dcterms:W3CDTF">2026-08-14T10:41:00Z</dcterms:modified>
</cp:coreProperties>
</file>