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65D3" w14:textId="04EEBF10" w:rsidR="00113AD7" w:rsidRPr="00995345" w:rsidRDefault="00323F64" w:rsidP="00113AD7">
      <w:pPr>
        <w:jc w:val="center"/>
        <w:rPr>
          <w:rFonts w:ascii="Muli" w:hAnsi="Muli" w:cstheme="minorHAnsi"/>
          <w:b/>
          <w:bCs/>
          <w:sz w:val="20"/>
          <w:szCs w:val="20"/>
        </w:rPr>
      </w:pPr>
      <w:bookmarkStart w:id="0" w:name="_Hlk215137328"/>
      <w:r>
        <w:rPr>
          <w:rFonts w:ascii="Muli" w:hAnsi="Muli" w:cstheme="minorHAnsi"/>
          <w:b/>
          <w:bCs/>
          <w:sz w:val="20"/>
          <w:szCs w:val="20"/>
        </w:rPr>
        <w:t>El acceso a la vivienda es el principal problema de los españoles</w:t>
      </w:r>
    </w:p>
    <w:bookmarkEnd w:id="0"/>
    <w:p w14:paraId="080364D0" w14:textId="347655FD" w:rsidR="64AC6E94" w:rsidRDefault="64AC6E94" w:rsidP="023F16EC">
      <w:pPr>
        <w:jc w:val="center"/>
      </w:pPr>
      <w:r w:rsidRPr="023F16EC">
        <w:rPr>
          <w:rFonts w:ascii="Montserrat" w:hAnsi="Montserrat"/>
          <w:b/>
          <w:bCs/>
          <w:color w:val="0F4761" w:themeColor="accent1" w:themeShade="BF"/>
          <w:sz w:val="32"/>
          <w:szCs w:val="32"/>
        </w:rPr>
        <w:t>El esfuerzo para pagar un alquiler supone un 36,85% del salario frente al 22,65% de la hipoteca</w:t>
      </w:r>
    </w:p>
    <w:p w14:paraId="4EAAE52D" w14:textId="10849235" w:rsidR="00113AD7" w:rsidRPr="00433F09" w:rsidRDefault="00920AB1" w:rsidP="00113AD7">
      <w:pPr>
        <w:pStyle w:val="Prrafodelista"/>
        <w:numPr>
          <w:ilvl w:val="0"/>
          <w:numId w:val="4"/>
        </w:numPr>
        <w:spacing w:line="256" w:lineRule="auto"/>
        <w:ind w:left="567" w:hanging="207"/>
        <w:rPr>
          <w:rFonts w:ascii="Muli" w:hAnsi="Muli"/>
        </w:rPr>
      </w:pPr>
      <w:r>
        <w:rPr>
          <w:rFonts w:ascii="Muli" w:hAnsi="Muli"/>
        </w:rPr>
        <w:t xml:space="preserve">El esfuerzo medio de alquiler </w:t>
      </w:r>
      <w:r w:rsidR="00CA496C">
        <w:rPr>
          <w:rFonts w:ascii="Muli" w:hAnsi="Muli"/>
        </w:rPr>
        <w:t xml:space="preserve">en </w:t>
      </w:r>
      <w:r>
        <w:rPr>
          <w:rFonts w:ascii="Muli" w:hAnsi="Muli"/>
        </w:rPr>
        <w:t>la Comunidad de Madrid</w:t>
      </w:r>
      <w:r w:rsidR="00CA496C">
        <w:rPr>
          <w:rFonts w:ascii="Muli" w:hAnsi="Muli"/>
        </w:rPr>
        <w:t>, País Vasco y Cataluña supera el 40% del salario neto mensual de los ciudadanos.</w:t>
      </w:r>
    </w:p>
    <w:p w14:paraId="646DA46F" w14:textId="08280956" w:rsidR="00113AD7" w:rsidRDefault="00CE5B40" w:rsidP="00113AD7">
      <w:pPr>
        <w:pStyle w:val="Prrafodelista"/>
        <w:numPr>
          <w:ilvl w:val="0"/>
          <w:numId w:val="4"/>
        </w:numPr>
        <w:spacing w:line="256" w:lineRule="auto"/>
        <w:ind w:left="567" w:hanging="207"/>
        <w:rPr>
          <w:rFonts w:ascii="Muli" w:hAnsi="Muli"/>
        </w:rPr>
      </w:pPr>
      <w:r>
        <w:rPr>
          <w:rFonts w:ascii="Muli" w:hAnsi="Muli"/>
        </w:rPr>
        <w:t xml:space="preserve">Solo seis Comunidades Autónomas logran mantenerse dentro del límite saludable del 30% del esfuerzo recomendado por el Banco de España. </w:t>
      </w:r>
    </w:p>
    <w:p w14:paraId="2875AC07" w14:textId="5683A55C" w:rsidR="006E3C63" w:rsidRDefault="00456773" w:rsidP="006E3C63">
      <w:pPr>
        <w:pStyle w:val="Prrafodelista"/>
        <w:numPr>
          <w:ilvl w:val="0"/>
          <w:numId w:val="4"/>
        </w:numPr>
        <w:spacing w:line="256" w:lineRule="auto"/>
        <w:ind w:left="567" w:hanging="207"/>
        <w:rPr>
          <w:rFonts w:ascii="Muli" w:hAnsi="Muli"/>
        </w:rPr>
      </w:pPr>
      <w:r w:rsidRPr="023F16EC">
        <w:rPr>
          <w:rFonts w:ascii="Muli" w:hAnsi="Muli"/>
        </w:rPr>
        <w:t xml:space="preserve">"El mercado está castigando a los hogares que no </w:t>
      </w:r>
      <w:r w:rsidR="342FDB09" w:rsidRPr="023F16EC">
        <w:rPr>
          <w:rFonts w:ascii="Muli" w:hAnsi="Muli"/>
        </w:rPr>
        <w:t xml:space="preserve">cuentan con los ahorros necesarios para </w:t>
      </w:r>
      <w:r w:rsidRPr="023F16EC">
        <w:rPr>
          <w:rFonts w:ascii="Muli" w:hAnsi="Muli"/>
        </w:rPr>
        <w:t>la entrada", sostiene Laura Martínez.</w:t>
      </w:r>
    </w:p>
    <w:p w14:paraId="48F0515D" w14:textId="77777777" w:rsidR="00F45629" w:rsidRPr="00456773" w:rsidRDefault="00F45629" w:rsidP="00F45629">
      <w:pPr>
        <w:pStyle w:val="Prrafodelista"/>
        <w:spacing w:line="256" w:lineRule="auto"/>
        <w:ind w:left="567"/>
        <w:rPr>
          <w:rFonts w:ascii="Muli" w:hAnsi="Muli"/>
        </w:rPr>
      </w:pPr>
    </w:p>
    <w:p w14:paraId="5D4A27EA" w14:textId="1C05D6A2" w:rsidR="00113AD7" w:rsidRPr="00E93A52" w:rsidRDefault="00113AD7" w:rsidP="00113AD7">
      <w:pPr>
        <w:spacing w:line="256" w:lineRule="auto"/>
        <w:rPr>
          <w:rFonts w:ascii="Muli" w:hAnsi="Muli"/>
        </w:rPr>
      </w:pPr>
      <w:r w:rsidRPr="00E93A52">
        <w:rPr>
          <w:rFonts w:ascii="Muli" w:hAnsi="Muli"/>
        </w:rPr>
        <w:t xml:space="preserve">Madrid, </w:t>
      </w:r>
      <w:r w:rsidR="00BB4D5E">
        <w:rPr>
          <w:rFonts w:ascii="Muli" w:hAnsi="Muli"/>
        </w:rPr>
        <w:t>3</w:t>
      </w:r>
      <w:r w:rsidR="0006529C" w:rsidRPr="00E93A52">
        <w:rPr>
          <w:rFonts w:ascii="Muli" w:hAnsi="Muli"/>
        </w:rPr>
        <w:t xml:space="preserve"> de junio</w:t>
      </w:r>
      <w:r w:rsidR="00E22A1B">
        <w:rPr>
          <w:rFonts w:ascii="Muli" w:hAnsi="Muli"/>
        </w:rPr>
        <w:t xml:space="preserve"> de 2026</w:t>
      </w:r>
      <w:r w:rsidR="0006529C" w:rsidRPr="00E93A52">
        <w:rPr>
          <w:rFonts w:ascii="Muli" w:hAnsi="Muli"/>
        </w:rPr>
        <w:t xml:space="preserve"> </w:t>
      </w:r>
    </w:p>
    <w:p w14:paraId="2F879281" w14:textId="0BF9400E" w:rsidR="00107156" w:rsidRDefault="00E93A52" w:rsidP="00E93A52">
      <w:pPr>
        <w:rPr>
          <w:rFonts w:ascii="Muli" w:hAnsi="Muli"/>
        </w:rPr>
      </w:pPr>
      <w:r w:rsidRPr="023F16EC">
        <w:rPr>
          <w:rFonts w:ascii="Muli" w:hAnsi="Muli"/>
        </w:rPr>
        <w:t>La vivienda en España atraviesa un momento de polarización financiera extrema</w:t>
      </w:r>
      <w:r w:rsidR="00630EDE" w:rsidRPr="023F16EC">
        <w:rPr>
          <w:rFonts w:ascii="Muli" w:hAnsi="Muli"/>
        </w:rPr>
        <w:t xml:space="preserve"> convirtiéndose </w:t>
      </w:r>
      <w:r w:rsidR="009A00A6" w:rsidRPr="023F16EC">
        <w:rPr>
          <w:rFonts w:ascii="Muli" w:hAnsi="Muli"/>
        </w:rPr>
        <w:t>en una brecha social de consecuencias imprevisibles</w:t>
      </w:r>
      <w:r w:rsidRPr="023F16EC">
        <w:rPr>
          <w:rFonts w:ascii="Muli" w:hAnsi="Muli"/>
        </w:rPr>
        <w:t xml:space="preserve">. </w:t>
      </w:r>
      <w:r w:rsidR="009A00A6" w:rsidRPr="023F16EC">
        <w:rPr>
          <w:rFonts w:ascii="Muli" w:hAnsi="Muli"/>
        </w:rPr>
        <w:t>Según el último barómetro del Centro de Investigación Sociológico (CIS)</w:t>
      </w:r>
      <w:r w:rsidR="00B62AAB" w:rsidRPr="023F16EC">
        <w:rPr>
          <w:rFonts w:ascii="Muli" w:hAnsi="Muli"/>
        </w:rPr>
        <w:t xml:space="preserve">, el acceso a la vivienda es el </w:t>
      </w:r>
      <w:r w:rsidR="006E66D9" w:rsidRPr="023F16EC">
        <w:rPr>
          <w:rFonts w:ascii="Muli" w:hAnsi="Muli"/>
        </w:rPr>
        <w:t xml:space="preserve">principal problema </w:t>
      </w:r>
      <w:r w:rsidR="00D753B8" w:rsidRPr="023F16EC">
        <w:rPr>
          <w:rFonts w:ascii="Muli" w:hAnsi="Muli"/>
        </w:rPr>
        <w:t xml:space="preserve">para el 41,3% </w:t>
      </w:r>
      <w:r w:rsidR="006E66D9" w:rsidRPr="023F16EC">
        <w:rPr>
          <w:rFonts w:ascii="Muli" w:hAnsi="Muli"/>
        </w:rPr>
        <w:t>de los españoles.</w:t>
      </w:r>
      <w:r w:rsidR="20BCB8D6" w:rsidRPr="023F16EC">
        <w:rPr>
          <w:rFonts w:ascii="Muli" w:hAnsi="Muli"/>
        </w:rPr>
        <w:t xml:space="preserve"> Los datos de mayo de iAhorro confirman un escenario demoledor: el</w:t>
      </w:r>
      <w:r w:rsidR="00107156" w:rsidRPr="023F16EC">
        <w:rPr>
          <w:rFonts w:ascii="Muli" w:hAnsi="Muli"/>
        </w:rPr>
        <w:t xml:space="preserve"> acceso a la vivienda se sitúa en el centro del debate económico y social. </w:t>
      </w:r>
      <w:r w:rsidR="00C24D15" w:rsidRPr="023F16EC">
        <w:rPr>
          <w:rFonts w:ascii="Muli" w:hAnsi="Muli"/>
        </w:rPr>
        <w:t>La</w:t>
      </w:r>
      <w:r w:rsidR="005B2C46" w:rsidRPr="023F16EC">
        <w:rPr>
          <w:rFonts w:ascii="Muli" w:hAnsi="Muli"/>
        </w:rPr>
        <w:t xml:space="preserve"> presión financiera sobre las familias españolas no da tregua, obligando a destinar</w:t>
      </w:r>
      <w:r w:rsidR="00C24D15" w:rsidRPr="023F16EC">
        <w:rPr>
          <w:rFonts w:ascii="Muli" w:hAnsi="Muli"/>
        </w:rPr>
        <w:t xml:space="preserve"> </w:t>
      </w:r>
      <w:r w:rsidR="00110B79" w:rsidRPr="023F16EC">
        <w:rPr>
          <w:rFonts w:ascii="Muli" w:hAnsi="Muli"/>
        </w:rPr>
        <w:t>un alto</w:t>
      </w:r>
      <w:r w:rsidR="005B2C46" w:rsidRPr="023F16EC">
        <w:rPr>
          <w:rFonts w:ascii="Muli" w:hAnsi="Muli"/>
        </w:rPr>
        <w:t xml:space="preserve"> porcentaje de</w:t>
      </w:r>
      <w:r w:rsidR="00110B79" w:rsidRPr="023F16EC">
        <w:rPr>
          <w:rFonts w:ascii="Muli" w:hAnsi="Muli"/>
        </w:rPr>
        <w:t xml:space="preserve"> los</w:t>
      </w:r>
      <w:r w:rsidR="005B2C46" w:rsidRPr="023F16EC">
        <w:rPr>
          <w:rFonts w:ascii="Muli" w:hAnsi="Muli"/>
        </w:rPr>
        <w:t xml:space="preserve"> </w:t>
      </w:r>
      <w:r w:rsidR="00E56703" w:rsidRPr="023F16EC">
        <w:rPr>
          <w:rFonts w:ascii="Muli" w:hAnsi="Muli"/>
        </w:rPr>
        <w:t>ingresos mensuales</w:t>
      </w:r>
      <w:r w:rsidR="00110B79" w:rsidRPr="023F16EC">
        <w:rPr>
          <w:rFonts w:ascii="Muli" w:hAnsi="Muli"/>
        </w:rPr>
        <w:t xml:space="preserve">, un dato </w:t>
      </w:r>
      <w:r w:rsidR="00E56703" w:rsidRPr="023F16EC">
        <w:rPr>
          <w:rFonts w:ascii="Muli" w:hAnsi="Muli"/>
        </w:rPr>
        <w:t xml:space="preserve">muy por encima de los umbrales recomendados por el Banco de España (que no superen el 30%). </w:t>
      </w:r>
    </w:p>
    <w:p w14:paraId="6B8EB4B2" w14:textId="3DCC2B6A" w:rsidR="00667984" w:rsidRDefault="00CA7A92" w:rsidP="00E93A52">
      <w:pPr>
        <w:rPr>
          <w:rFonts w:ascii="Muli" w:hAnsi="Muli"/>
        </w:rPr>
      </w:pPr>
      <w:r w:rsidRPr="023F16EC">
        <w:rPr>
          <w:rFonts w:ascii="Muli" w:hAnsi="Muli"/>
        </w:rPr>
        <w:t xml:space="preserve">Los datos de mayo </w:t>
      </w:r>
      <w:r w:rsidR="002A22D3" w:rsidRPr="023F16EC">
        <w:rPr>
          <w:rFonts w:ascii="Muli" w:hAnsi="Muli"/>
        </w:rPr>
        <w:t xml:space="preserve">ponen en manifiesto que el esfuerzo económico de las familias españolas </w:t>
      </w:r>
      <w:r w:rsidR="4CFEF273" w:rsidRPr="023F16EC">
        <w:rPr>
          <w:rFonts w:ascii="Muli" w:hAnsi="Muli"/>
        </w:rPr>
        <w:t xml:space="preserve">para pagar su vivienda ya sea la hipoteca o el alquiler </w:t>
      </w:r>
      <w:r w:rsidR="002A22D3" w:rsidRPr="023F16EC">
        <w:rPr>
          <w:rFonts w:ascii="Muli" w:hAnsi="Muli"/>
        </w:rPr>
        <w:t xml:space="preserve">ya supone </w:t>
      </w:r>
      <w:r w:rsidR="00FB609F" w:rsidRPr="023F16EC">
        <w:rPr>
          <w:rFonts w:ascii="Muli" w:hAnsi="Muli"/>
        </w:rPr>
        <w:t>un</w:t>
      </w:r>
      <w:r w:rsidR="00AA5EA4" w:rsidRPr="023F16EC">
        <w:rPr>
          <w:rFonts w:ascii="Muli" w:hAnsi="Muli"/>
        </w:rPr>
        <w:t>a situación</w:t>
      </w:r>
      <w:r w:rsidR="002A22D3" w:rsidRPr="023F16EC">
        <w:rPr>
          <w:rFonts w:ascii="Muli" w:hAnsi="Muli"/>
        </w:rPr>
        <w:t xml:space="preserve"> crític</w:t>
      </w:r>
      <w:r w:rsidR="00AA5EA4" w:rsidRPr="023F16EC">
        <w:rPr>
          <w:rFonts w:ascii="Muli" w:hAnsi="Muli"/>
        </w:rPr>
        <w:t>a</w:t>
      </w:r>
      <w:r w:rsidR="002A22D3" w:rsidRPr="023F16EC">
        <w:rPr>
          <w:rFonts w:ascii="Muli" w:hAnsi="Muli"/>
        </w:rPr>
        <w:t xml:space="preserve">. En las principales capitales y en </w:t>
      </w:r>
      <w:r w:rsidR="008B2DDD" w:rsidRPr="023F16EC">
        <w:rPr>
          <w:rFonts w:ascii="Muli" w:hAnsi="Muli"/>
        </w:rPr>
        <w:t>zonas tensionadas, este porcentaje devora una parte sustancial del salario medio de los hogares, dificultando el ahorro</w:t>
      </w:r>
      <w:r w:rsidR="00C22E23" w:rsidRPr="023F16EC">
        <w:rPr>
          <w:rFonts w:ascii="Muli" w:hAnsi="Muli"/>
        </w:rPr>
        <w:t xml:space="preserve">, especialmente entre los más jóvenes. </w:t>
      </w:r>
    </w:p>
    <w:p w14:paraId="426ED8E7" w14:textId="77777777" w:rsidR="00FB609F" w:rsidRPr="00E93A52" w:rsidRDefault="00FB609F" w:rsidP="00FB609F">
      <w:pPr>
        <w:rPr>
          <w:rFonts w:ascii="Muli" w:hAnsi="Muli"/>
        </w:rPr>
      </w:pPr>
      <w:r w:rsidRPr="023F16EC">
        <w:rPr>
          <w:rFonts w:ascii="Muli" w:hAnsi="Muli"/>
        </w:rPr>
        <w:t>Según el análisis, a nivel nacional, un hogar medio destina el 36,85% de su renta neta al alquiler, comparado con el 22,65% que dedica a la cuota hipotecaria. Esta disparidad impide a miles de ciudadanos la acumulación de capital, convirtiendo el arrendamiento en una carga financiera superior a la propiedad.</w:t>
      </w:r>
    </w:p>
    <w:p w14:paraId="66B235A6" w14:textId="533B32B2" w:rsidR="00C22E23" w:rsidRDefault="00F06912" w:rsidP="00E93A52">
      <w:r w:rsidRPr="023F16EC">
        <w:rPr>
          <w:rFonts w:ascii="Muli" w:hAnsi="Muli"/>
        </w:rPr>
        <w:t xml:space="preserve">En el caso de comprar una casa, el esfuerzo requerido para la adquisición de una vivienda mediante </w:t>
      </w:r>
      <w:r w:rsidR="0092610C" w:rsidRPr="023F16EC">
        <w:rPr>
          <w:rFonts w:ascii="Muli" w:hAnsi="Muli"/>
        </w:rPr>
        <w:t xml:space="preserve">un préstamo hipotecario también se aleja de la realidad para muchos ciudadanos. </w:t>
      </w:r>
      <w:r w:rsidR="00BF475B" w:rsidRPr="023F16EC">
        <w:rPr>
          <w:rFonts w:ascii="Muli" w:hAnsi="Muli"/>
        </w:rPr>
        <w:t xml:space="preserve">Ya que </w:t>
      </w:r>
      <w:r w:rsidR="004E0C95" w:rsidRPr="023F16EC">
        <w:rPr>
          <w:rFonts w:ascii="Muli" w:hAnsi="Muli"/>
        </w:rPr>
        <w:t xml:space="preserve">una entidad bancaria suele conceder el 80% (el 90% o </w:t>
      </w:r>
      <w:r w:rsidR="002810D2" w:rsidRPr="023F16EC">
        <w:rPr>
          <w:rFonts w:ascii="Muli" w:hAnsi="Muli"/>
        </w:rPr>
        <w:t xml:space="preserve">el </w:t>
      </w:r>
      <w:r w:rsidR="004E0C95" w:rsidRPr="023F16EC">
        <w:rPr>
          <w:rFonts w:ascii="Muli" w:hAnsi="Muli"/>
        </w:rPr>
        <w:t>100% en casos concretos y dependiendo la Comunidad Autónoma)</w:t>
      </w:r>
      <w:r w:rsidR="00E01DB2" w:rsidRPr="023F16EC">
        <w:rPr>
          <w:rFonts w:ascii="Muli" w:hAnsi="Muli"/>
        </w:rPr>
        <w:t>, por lo que se requiere un ahorro de</w:t>
      </w:r>
      <w:r w:rsidR="00DF3AAF" w:rsidRPr="023F16EC">
        <w:rPr>
          <w:rFonts w:ascii="Muli" w:hAnsi="Muli"/>
        </w:rPr>
        <w:t xml:space="preserve"> entre el </w:t>
      </w:r>
      <w:r w:rsidR="00E01DB2" w:rsidRPr="023F16EC">
        <w:rPr>
          <w:rFonts w:ascii="Muli" w:hAnsi="Muli"/>
        </w:rPr>
        <w:t xml:space="preserve">20% + un 10% de gastos e impuestos, </w:t>
      </w:r>
      <w:r w:rsidR="51491999" w:rsidRPr="023F16EC">
        <w:rPr>
          <w:rFonts w:ascii="Muli" w:hAnsi="Muli"/>
        </w:rPr>
        <w:t>para cubrir impuestos,</w:t>
      </w:r>
      <w:r w:rsidR="00E01DB2" w:rsidRPr="023F16EC">
        <w:rPr>
          <w:rFonts w:ascii="Muli" w:hAnsi="Muli"/>
        </w:rPr>
        <w:t xml:space="preserve"> </w:t>
      </w:r>
      <w:r w:rsidR="420F9B08" w:rsidRPr="023F16EC">
        <w:rPr>
          <w:rFonts w:ascii="Muli" w:hAnsi="Muli"/>
        </w:rPr>
        <w:t>notaría</w:t>
      </w:r>
      <w:r w:rsidR="00E01DB2" w:rsidRPr="023F16EC">
        <w:rPr>
          <w:rFonts w:ascii="Muli" w:hAnsi="Muli"/>
        </w:rPr>
        <w:t xml:space="preserve"> </w:t>
      </w:r>
      <w:r w:rsidR="4B520D48" w:rsidRPr="023F16EC">
        <w:rPr>
          <w:rFonts w:ascii="Muli" w:hAnsi="Muli"/>
        </w:rPr>
        <w:t>y</w:t>
      </w:r>
      <w:r w:rsidR="00E01DB2" w:rsidRPr="023F16EC">
        <w:rPr>
          <w:rFonts w:ascii="Muli" w:hAnsi="Muli"/>
        </w:rPr>
        <w:t xml:space="preserve"> la tasación de la vivienda. </w:t>
      </w:r>
    </w:p>
    <w:p w14:paraId="0AEA62D3" w14:textId="2658917B" w:rsidR="6DE795ED" w:rsidRDefault="6DE795ED">
      <w:r w:rsidRPr="023F16EC">
        <w:rPr>
          <w:rFonts w:ascii="Muli" w:hAnsi="Muli"/>
        </w:rPr>
        <w:t xml:space="preserve">“El esfuerzo de comprar una vivienda es menor porque hemos restado un 20% del valor de </w:t>
      </w:r>
      <w:r w:rsidR="7881C429" w:rsidRPr="023F16EC">
        <w:rPr>
          <w:rFonts w:ascii="Muli" w:hAnsi="Muli"/>
        </w:rPr>
        <w:t>compraventa</w:t>
      </w:r>
      <w:r w:rsidRPr="023F16EC">
        <w:rPr>
          <w:rFonts w:ascii="Muli" w:hAnsi="Muli"/>
        </w:rPr>
        <w:t xml:space="preserve"> que lo</w:t>
      </w:r>
      <w:r w:rsidR="00267315">
        <w:rPr>
          <w:rFonts w:ascii="Muli" w:hAnsi="Muli"/>
        </w:rPr>
        <w:t>s</w:t>
      </w:r>
      <w:r w:rsidRPr="023F16EC">
        <w:rPr>
          <w:rFonts w:ascii="Muli" w:hAnsi="Muli"/>
        </w:rPr>
        <w:t xml:space="preserve"> usuarios tienen que tener ahorrado. Además, si la hipoteca es fija no hay subidas mensuales como sí pasa en los alquileres.</w:t>
      </w:r>
      <w:r w:rsidR="791428AC" w:rsidRPr="023F16EC">
        <w:rPr>
          <w:rFonts w:ascii="Muli" w:hAnsi="Muli"/>
        </w:rPr>
        <w:t xml:space="preserve"> En el lado contrario, tener una casa en propiedad también conlleva otros gastos como el pago de los seguros o del IBI”, explica Laura Martínez, portavoz del asesor y comparador hipotecario iAhorro. </w:t>
      </w:r>
    </w:p>
    <w:p w14:paraId="66D6845F" w14:textId="5B847019" w:rsidR="00474510" w:rsidRDefault="005A1341" w:rsidP="00E93A52">
      <w:pPr>
        <w:rPr>
          <w:rFonts w:ascii="Muli" w:hAnsi="Muli"/>
        </w:rPr>
      </w:pPr>
      <w:r>
        <w:rPr>
          <w:rFonts w:ascii="Muli" w:hAnsi="Muli"/>
          <w:b/>
          <w:bCs/>
          <w:color w:val="243962"/>
        </w:rPr>
        <w:t xml:space="preserve">En </w:t>
      </w:r>
      <w:r w:rsidR="00474510" w:rsidRPr="023F16EC">
        <w:rPr>
          <w:rFonts w:ascii="Muli" w:hAnsi="Muli"/>
          <w:b/>
          <w:bCs/>
          <w:color w:val="243962"/>
        </w:rPr>
        <w:t>Madrid</w:t>
      </w:r>
      <w:r>
        <w:rPr>
          <w:rFonts w:ascii="Muli" w:hAnsi="Muli"/>
          <w:b/>
          <w:bCs/>
          <w:color w:val="243962"/>
        </w:rPr>
        <w:t xml:space="preserve"> el esfuerzo del alquiler </w:t>
      </w:r>
      <w:r w:rsidR="00F618A5">
        <w:rPr>
          <w:rFonts w:ascii="Muli" w:hAnsi="Muli"/>
          <w:b/>
          <w:bCs/>
          <w:color w:val="243962"/>
        </w:rPr>
        <w:t>sube</w:t>
      </w:r>
      <w:r>
        <w:rPr>
          <w:rFonts w:ascii="Muli" w:hAnsi="Muli"/>
          <w:b/>
          <w:bCs/>
          <w:color w:val="243962"/>
        </w:rPr>
        <w:t xml:space="preserve"> un 1,29% </w:t>
      </w:r>
      <w:r w:rsidR="00F618A5">
        <w:rPr>
          <w:rFonts w:ascii="Muli" w:hAnsi="Muli"/>
          <w:b/>
          <w:bCs/>
          <w:color w:val="243962"/>
        </w:rPr>
        <w:t>y el de la hipoteca b</w:t>
      </w:r>
      <w:r w:rsidR="00350023">
        <w:rPr>
          <w:rFonts w:ascii="Muli" w:hAnsi="Muli"/>
          <w:b/>
          <w:bCs/>
          <w:color w:val="243962"/>
        </w:rPr>
        <w:t>aja un 2,54%</w:t>
      </w:r>
      <w:r w:rsidR="00474510" w:rsidRPr="023F16EC">
        <w:rPr>
          <w:rFonts w:ascii="Muli" w:hAnsi="Muli"/>
        </w:rPr>
        <w:t xml:space="preserve"> </w:t>
      </w:r>
    </w:p>
    <w:p w14:paraId="255F4D59" w14:textId="35322822" w:rsidR="00A10E88" w:rsidRDefault="00E93A52" w:rsidP="00E93A52">
      <w:pPr>
        <w:rPr>
          <w:rFonts w:ascii="Muli" w:hAnsi="Muli"/>
        </w:rPr>
      </w:pPr>
      <w:r w:rsidRPr="023F16EC">
        <w:rPr>
          <w:rFonts w:ascii="Muli" w:hAnsi="Muli"/>
        </w:rPr>
        <w:lastRenderedPageBreak/>
        <w:t xml:space="preserve">A nivel nacional, el precio medio de la vivienda se sitúa en </w:t>
      </w:r>
      <w:r w:rsidR="000710F9" w:rsidRPr="023F16EC">
        <w:rPr>
          <w:rFonts w:ascii="Muli" w:hAnsi="Muli"/>
        </w:rPr>
        <w:t>216.600,26 euros</w:t>
      </w:r>
      <w:r w:rsidRPr="023F16EC">
        <w:rPr>
          <w:rFonts w:ascii="Muli" w:hAnsi="Muli"/>
        </w:rPr>
        <w:t>, con una hipoteca media de 1</w:t>
      </w:r>
      <w:r w:rsidR="000710F9" w:rsidRPr="023F16EC">
        <w:rPr>
          <w:rFonts w:ascii="Muli" w:hAnsi="Muli"/>
        </w:rPr>
        <w:t>73.280,2</w:t>
      </w:r>
      <w:r w:rsidR="00DF3AAF" w:rsidRPr="023F16EC">
        <w:rPr>
          <w:rFonts w:ascii="Muli" w:hAnsi="Muli"/>
        </w:rPr>
        <w:t>0</w:t>
      </w:r>
      <w:r w:rsidR="2BD6C411" w:rsidRPr="023F16EC">
        <w:rPr>
          <w:rFonts w:ascii="Muli" w:hAnsi="Muli"/>
        </w:rPr>
        <w:t>, según los datos de febrero del Instituto Nacional de Estadística (INE)</w:t>
      </w:r>
      <w:r w:rsidRPr="023F16EC">
        <w:rPr>
          <w:rFonts w:ascii="Muli" w:hAnsi="Muli"/>
        </w:rPr>
        <w:t>.</w:t>
      </w:r>
      <w:r w:rsidR="009A266A" w:rsidRPr="023F16EC">
        <w:rPr>
          <w:rFonts w:ascii="Muli" w:hAnsi="Muli"/>
        </w:rPr>
        <w:t xml:space="preserve"> Lo que supone un </w:t>
      </w:r>
      <w:r w:rsidR="004965C5" w:rsidRPr="023F16EC">
        <w:rPr>
          <w:rFonts w:ascii="Muli" w:hAnsi="Muli"/>
        </w:rPr>
        <w:t xml:space="preserve">pago mensual de media de </w:t>
      </w:r>
      <w:r w:rsidR="00B9107F" w:rsidRPr="023F16EC">
        <w:rPr>
          <w:rFonts w:ascii="Muli" w:hAnsi="Muli"/>
        </w:rPr>
        <w:t>736,14 euros.</w:t>
      </w:r>
      <w:r w:rsidRPr="023F16EC">
        <w:rPr>
          <w:rFonts w:ascii="Muli" w:hAnsi="Muli"/>
        </w:rPr>
        <w:t xml:space="preserve"> En paralelo</w:t>
      </w:r>
      <w:r w:rsidR="00B40942" w:rsidRPr="023F16EC">
        <w:rPr>
          <w:rFonts w:ascii="Muli" w:hAnsi="Muli"/>
        </w:rPr>
        <w:t xml:space="preserve"> </w:t>
      </w:r>
      <w:r w:rsidRPr="023F16EC">
        <w:rPr>
          <w:rFonts w:ascii="Muli" w:hAnsi="Muli"/>
        </w:rPr>
        <w:t>el coste medio de alquiler es de 1.197,60 euros</w:t>
      </w:r>
      <w:r w:rsidR="00AD5061" w:rsidRPr="023F16EC">
        <w:rPr>
          <w:rFonts w:ascii="Muli" w:hAnsi="Muli"/>
        </w:rPr>
        <w:t xml:space="preserve">, es decir, </w:t>
      </w:r>
      <w:r w:rsidR="00E86118" w:rsidRPr="023F16EC">
        <w:rPr>
          <w:rFonts w:ascii="Muli" w:hAnsi="Muli"/>
        </w:rPr>
        <w:t>si tienes una hipoteca pagas 461,45 euros menos de media mensual.</w:t>
      </w:r>
      <w:r w:rsidR="00B40942" w:rsidRPr="023F16EC">
        <w:rPr>
          <w:rFonts w:ascii="Muli" w:hAnsi="Muli"/>
        </w:rPr>
        <w:t xml:space="preserve"> </w:t>
      </w:r>
      <w:r w:rsidRPr="023F16EC">
        <w:rPr>
          <w:rFonts w:ascii="Muli" w:hAnsi="Muli"/>
        </w:rPr>
        <w:t>Estos datos confirman una realidad: la compra hipotecaria, pese a los retos</w:t>
      </w:r>
      <w:r w:rsidR="00B32B72" w:rsidRPr="023F16EC">
        <w:rPr>
          <w:rFonts w:ascii="Muli" w:hAnsi="Muli"/>
        </w:rPr>
        <w:t xml:space="preserve"> de tener un mínimo de un </w:t>
      </w:r>
      <w:r w:rsidR="00A0482E">
        <w:rPr>
          <w:rFonts w:ascii="Muli" w:hAnsi="Muli"/>
        </w:rPr>
        <w:t>2</w:t>
      </w:r>
      <w:r w:rsidR="00B32B72" w:rsidRPr="023F16EC">
        <w:rPr>
          <w:rFonts w:ascii="Muli" w:hAnsi="Muli"/>
        </w:rPr>
        <w:t>0% ahorrado</w:t>
      </w:r>
      <w:r w:rsidRPr="023F16EC">
        <w:rPr>
          <w:rFonts w:ascii="Muli" w:hAnsi="Muli"/>
        </w:rPr>
        <w:t>, ofrece un escenario de esfuerzo financiero mucho más sostenible que el alquiler.</w:t>
      </w:r>
      <w:r w:rsidR="00B32B72" w:rsidRPr="023F16EC">
        <w:rPr>
          <w:rFonts w:ascii="Muli" w:hAnsi="Muli"/>
        </w:rPr>
        <w:t xml:space="preserve"> </w:t>
      </w:r>
    </w:p>
    <w:p w14:paraId="7738E233" w14:textId="3548EE05" w:rsidR="006B7700" w:rsidRPr="00E93A52" w:rsidRDefault="00D563FD" w:rsidP="007C25FC">
      <w:r w:rsidRPr="023F16EC">
        <w:rPr>
          <w:rFonts w:ascii="Muli" w:hAnsi="Muli"/>
        </w:rPr>
        <w:t>Respecto a la compra de una vivienda d</w:t>
      </w:r>
      <w:r w:rsidR="007C25FC" w:rsidRPr="023F16EC">
        <w:rPr>
          <w:rFonts w:ascii="Muli" w:hAnsi="Muli"/>
        </w:rPr>
        <w:t xml:space="preserve">estacan especialmente comunidades como Madrid </w:t>
      </w:r>
      <w:r w:rsidR="00FE3750" w:rsidRPr="023F16EC">
        <w:rPr>
          <w:rFonts w:ascii="Muli" w:hAnsi="Muli"/>
        </w:rPr>
        <w:t>(297.578,32 euros)</w:t>
      </w:r>
      <w:r w:rsidR="12DB32BF" w:rsidRPr="023F16EC">
        <w:rPr>
          <w:rFonts w:ascii="Muli" w:hAnsi="Muli"/>
        </w:rPr>
        <w:t xml:space="preserve">, </w:t>
      </w:r>
      <w:r w:rsidR="007C25FC" w:rsidRPr="023F16EC">
        <w:rPr>
          <w:rFonts w:ascii="Muli" w:hAnsi="Muli"/>
        </w:rPr>
        <w:t>Cataluña</w:t>
      </w:r>
      <w:r w:rsidR="00FE3750" w:rsidRPr="023F16EC">
        <w:rPr>
          <w:rFonts w:ascii="Muli" w:hAnsi="Muli"/>
        </w:rPr>
        <w:t xml:space="preserve"> (236.028,08 euros)</w:t>
      </w:r>
      <w:r w:rsidR="4440AF29" w:rsidRPr="023F16EC">
        <w:rPr>
          <w:rFonts w:ascii="Muli" w:hAnsi="Muli"/>
        </w:rPr>
        <w:t xml:space="preserve"> y País Vasco (2</w:t>
      </w:r>
      <w:r w:rsidR="3FC69178" w:rsidRPr="023F16EC">
        <w:rPr>
          <w:rFonts w:ascii="Muli" w:hAnsi="Muli"/>
        </w:rPr>
        <w:t>2</w:t>
      </w:r>
      <w:r w:rsidR="4440AF29" w:rsidRPr="023F16EC">
        <w:rPr>
          <w:rFonts w:ascii="Muli" w:hAnsi="Muli"/>
        </w:rPr>
        <w:t>2.479,19 euros)</w:t>
      </w:r>
      <w:r w:rsidR="007C25FC" w:rsidRPr="023F16EC">
        <w:rPr>
          <w:rFonts w:ascii="Muli" w:hAnsi="Muli"/>
        </w:rPr>
        <w:t xml:space="preserve">. </w:t>
      </w:r>
    </w:p>
    <w:p w14:paraId="71EEADF4" w14:textId="377A8E74" w:rsidR="006B7700" w:rsidRPr="00E93A52" w:rsidRDefault="005F4DE3" w:rsidP="007C25FC">
      <w:r w:rsidRPr="023F16EC">
        <w:rPr>
          <w:rFonts w:ascii="Muli" w:hAnsi="Muli"/>
        </w:rPr>
        <w:t>Mientras que, e</w:t>
      </w:r>
      <w:r w:rsidR="007C25FC" w:rsidRPr="023F16EC">
        <w:rPr>
          <w:rFonts w:ascii="Muli" w:hAnsi="Muli"/>
        </w:rPr>
        <w:t>n Madrid</w:t>
      </w:r>
      <w:r w:rsidRPr="023F16EC">
        <w:rPr>
          <w:rFonts w:ascii="Muli" w:hAnsi="Muli"/>
        </w:rPr>
        <w:t xml:space="preserve"> </w:t>
      </w:r>
      <w:r w:rsidR="007C25FC" w:rsidRPr="023F16EC">
        <w:rPr>
          <w:rFonts w:ascii="Muli" w:hAnsi="Muli"/>
        </w:rPr>
        <w:t>el esfuerzo para alquilar toca techo</w:t>
      </w:r>
      <w:r w:rsidR="30643D84" w:rsidRPr="023F16EC">
        <w:rPr>
          <w:rFonts w:ascii="Muli" w:hAnsi="Muli"/>
        </w:rPr>
        <w:t xml:space="preserve"> y hay que destinar</w:t>
      </w:r>
      <w:r w:rsidR="007C25FC" w:rsidRPr="023F16EC">
        <w:rPr>
          <w:rFonts w:ascii="Muli" w:hAnsi="Muli"/>
        </w:rPr>
        <w:t xml:space="preserve"> el 42,60%, una cifra que sitúa al hogar en una vulnerabilidad extrema</w:t>
      </w:r>
      <w:r w:rsidR="65BF90E1" w:rsidRPr="023F16EC">
        <w:rPr>
          <w:rFonts w:ascii="Muli" w:hAnsi="Muli"/>
        </w:rPr>
        <w:t xml:space="preserve"> pese a un sueldo medio de 47.357 euros anuales</w:t>
      </w:r>
      <w:r w:rsidR="007C25FC" w:rsidRPr="023F16EC">
        <w:rPr>
          <w:rFonts w:ascii="Muli" w:hAnsi="Muli"/>
        </w:rPr>
        <w:t>. En contraste, una persona que accede a la compra hipotecaria en Madrid, con los tipos actuales</w:t>
      </w:r>
      <w:r w:rsidR="00980066" w:rsidRPr="023F16EC">
        <w:rPr>
          <w:rFonts w:ascii="Muli" w:hAnsi="Muli"/>
        </w:rPr>
        <w:t xml:space="preserve"> de iAhorro</w:t>
      </w:r>
      <w:r w:rsidR="007C25FC" w:rsidRPr="023F16EC">
        <w:rPr>
          <w:rFonts w:ascii="Muli" w:hAnsi="Muli"/>
        </w:rPr>
        <w:t xml:space="preserve"> (2,02%)</w:t>
      </w:r>
      <w:r w:rsidR="7570B971" w:rsidRPr="023F16EC">
        <w:rPr>
          <w:rFonts w:ascii="Muli" w:hAnsi="Muli"/>
        </w:rPr>
        <w:t xml:space="preserve"> y con un préstamo a 25 años</w:t>
      </w:r>
      <w:r w:rsidR="007C25FC" w:rsidRPr="023F16EC">
        <w:rPr>
          <w:rFonts w:ascii="Muli" w:hAnsi="Muli"/>
        </w:rPr>
        <w:t>, reduce ese esfuerzo al 25,62%.</w:t>
      </w:r>
      <w:r w:rsidR="6B017D9E" w:rsidRPr="023F16EC">
        <w:rPr>
          <w:rFonts w:ascii="Muli" w:hAnsi="Muli"/>
        </w:rPr>
        <w:t xml:space="preserve"> Si comparamos estos porcentajes con los datos </w:t>
      </w:r>
      <w:r w:rsidR="3F5CA498" w:rsidRPr="023F16EC">
        <w:rPr>
          <w:rFonts w:ascii="Muli" w:hAnsi="Muli"/>
        </w:rPr>
        <w:t>de mayo de 2025</w:t>
      </w:r>
      <w:r w:rsidR="6B017D9E" w:rsidRPr="023F16EC">
        <w:rPr>
          <w:rFonts w:ascii="Muli" w:hAnsi="Muli"/>
        </w:rPr>
        <w:t xml:space="preserve"> vemos que hay </w:t>
      </w:r>
      <w:r w:rsidR="43831F5C" w:rsidRPr="023F16EC">
        <w:rPr>
          <w:rFonts w:ascii="Muli" w:hAnsi="Muli"/>
        </w:rPr>
        <w:t xml:space="preserve">una caída del 2,54% en el esfuerzo hipotecario, pero en el caso </w:t>
      </w:r>
      <w:r w:rsidR="00F618A5">
        <w:rPr>
          <w:rFonts w:ascii="Muli" w:hAnsi="Muli"/>
        </w:rPr>
        <w:t xml:space="preserve">del alquiler ha aumentado un </w:t>
      </w:r>
      <w:r w:rsidR="6C9F2326" w:rsidRPr="023F16EC">
        <w:rPr>
          <w:rFonts w:ascii="Muli" w:hAnsi="Muli"/>
        </w:rPr>
        <w:t>1,29%</w:t>
      </w:r>
      <w:r w:rsidR="09ADF2AC" w:rsidRPr="023F16EC">
        <w:rPr>
          <w:rFonts w:ascii="Muli" w:hAnsi="Muli"/>
        </w:rPr>
        <w:t>.</w:t>
      </w:r>
    </w:p>
    <w:p w14:paraId="49B3E1E0" w14:textId="3799094F" w:rsidR="6D5B78AB" w:rsidRDefault="6D5B78AB" w:rsidP="023F16EC">
      <w:pPr>
        <w:rPr>
          <w:rFonts w:ascii="Muli" w:hAnsi="Muli"/>
        </w:rPr>
      </w:pPr>
      <w:r>
        <w:rPr>
          <w:noProof/>
        </w:rPr>
        <w:drawing>
          <wp:inline distT="0" distB="0" distL="0" distR="0" wp14:anchorId="49199D1D" wp14:editId="24FF7457">
            <wp:extent cx="5400675" cy="4219575"/>
            <wp:effectExtent l="0" t="0" r="0" b="0"/>
            <wp:docPr id="15119392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39276" name="Picture 1511939276"/>
                    <pic:cNvPicPr/>
                  </pic:nvPicPr>
                  <pic:blipFill>
                    <a:blip r:embed="rId7">
                      <a:extLst>
                        <a:ext uri="{28A0092B-C50C-407E-A947-70E740481C1C}">
                          <a14:useLocalDpi xmlns:a14="http://schemas.microsoft.com/office/drawing/2010/main"/>
                        </a:ext>
                      </a:extLst>
                    </a:blip>
                    <a:stretch>
                      <a:fillRect/>
                    </a:stretch>
                  </pic:blipFill>
                  <pic:spPr>
                    <a:xfrm>
                      <a:off x="0" y="0"/>
                      <a:ext cx="5400675" cy="4219575"/>
                    </a:xfrm>
                    <a:prstGeom prst="rect">
                      <a:avLst/>
                    </a:prstGeom>
                  </pic:spPr>
                </pic:pic>
              </a:graphicData>
            </a:graphic>
          </wp:inline>
        </w:drawing>
      </w:r>
    </w:p>
    <w:p w14:paraId="7FBC8D94" w14:textId="4DF961EE" w:rsidR="007C25FC" w:rsidRDefault="007C25FC">
      <w:r w:rsidRPr="023F16EC">
        <w:rPr>
          <w:rFonts w:ascii="Muli" w:hAnsi="Muli"/>
        </w:rPr>
        <w:t xml:space="preserve">Por su parte, el País Vasco presenta la anomalía más drástica: </w:t>
      </w:r>
      <w:r w:rsidR="5DD0BD4A" w:rsidRPr="023F16EC">
        <w:rPr>
          <w:rFonts w:ascii="Muli" w:hAnsi="Muli"/>
        </w:rPr>
        <w:t xml:space="preserve">con un sueldo medio de 46.537 euros anuales, </w:t>
      </w:r>
      <w:r w:rsidRPr="023F16EC">
        <w:rPr>
          <w:rFonts w:ascii="Muli" w:hAnsi="Muli"/>
        </w:rPr>
        <w:t>el esfuerzo que requiere alquilar roza el 40,5%, mientras que la cuota hipotecaria desciende a apenas un 19,5%, una diferencia de 21 puntos porcentuales.</w:t>
      </w:r>
    </w:p>
    <w:p w14:paraId="36118A1A" w14:textId="158236B1" w:rsidR="004C3BA8" w:rsidRDefault="009029C9" w:rsidP="023F16EC">
      <w:pPr>
        <w:rPr>
          <w:rFonts w:ascii="Muli" w:hAnsi="Muli"/>
        </w:rPr>
      </w:pPr>
      <w:r w:rsidRPr="023F16EC">
        <w:rPr>
          <w:rFonts w:ascii="Muli" w:hAnsi="Muli"/>
        </w:rPr>
        <w:t xml:space="preserve">Si tenemos en cuenta que el salario </w:t>
      </w:r>
      <w:r w:rsidR="00EB74F8" w:rsidRPr="023F16EC">
        <w:rPr>
          <w:rFonts w:ascii="Muli" w:hAnsi="Muli"/>
        </w:rPr>
        <w:t>mínimo interprofesional en 2026 en nuestro país es de</w:t>
      </w:r>
      <w:r w:rsidR="00E73D1D" w:rsidRPr="023F16EC">
        <w:rPr>
          <w:rFonts w:ascii="Muli" w:hAnsi="Muli"/>
        </w:rPr>
        <w:t xml:space="preserve"> 1</w:t>
      </w:r>
      <w:r w:rsidR="003D776C" w:rsidRPr="023F16EC">
        <w:rPr>
          <w:rFonts w:ascii="Muli" w:hAnsi="Muli"/>
        </w:rPr>
        <w:t xml:space="preserve">.142 euros netos (12 pagas), según el </w:t>
      </w:r>
      <w:r w:rsidR="79E614C7" w:rsidRPr="023F16EC">
        <w:rPr>
          <w:rFonts w:ascii="Muli" w:hAnsi="Muli"/>
        </w:rPr>
        <w:t>Servicio Público de Empleo Estatal (SEPE)</w:t>
      </w:r>
      <w:r w:rsidR="00A53E74" w:rsidRPr="023F16EC">
        <w:rPr>
          <w:rFonts w:ascii="Muli" w:hAnsi="Muli"/>
        </w:rPr>
        <w:t>,</w:t>
      </w:r>
      <w:r w:rsidR="003D776C" w:rsidRPr="023F16EC">
        <w:rPr>
          <w:rFonts w:ascii="Muli" w:hAnsi="Muli"/>
        </w:rPr>
        <w:t xml:space="preserve"> la solvencia </w:t>
      </w:r>
      <w:r w:rsidR="003D776C" w:rsidRPr="023F16EC">
        <w:rPr>
          <w:rFonts w:ascii="Muli" w:hAnsi="Muli"/>
        </w:rPr>
        <w:lastRenderedPageBreak/>
        <w:t xml:space="preserve">es aún peor para muchos ciudadanos. </w:t>
      </w:r>
      <w:r w:rsidR="310B25F2" w:rsidRPr="023F16EC">
        <w:rPr>
          <w:rFonts w:ascii="Muli" w:hAnsi="Muli"/>
        </w:rPr>
        <w:t>Contando la renta media mensual por comunidad, el precio del alquiler medio supera con creces el porcentaje destinado a la hipoteca en todas las CC.AA., con ello, “e</w:t>
      </w:r>
      <w:r w:rsidR="00F549FD" w:rsidRPr="023F16EC">
        <w:rPr>
          <w:rFonts w:ascii="Muli" w:hAnsi="Muli"/>
        </w:rPr>
        <w:t xml:space="preserve">l mercado está castigando a los hogares que no pueden adelantar el capital necesario para la entrada", sostiene Laura Martínez, portavoz </w:t>
      </w:r>
      <w:r w:rsidR="006751A2" w:rsidRPr="023F16EC">
        <w:rPr>
          <w:rFonts w:ascii="Muli" w:hAnsi="Muli"/>
        </w:rPr>
        <w:t>de iAhorro.</w:t>
      </w:r>
      <w:r w:rsidR="4E6582FE" w:rsidRPr="023F16EC">
        <w:rPr>
          <w:rFonts w:ascii="Muli" w:hAnsi="Muli"/>
        </w:rPr>
        <w:t>”</w:t>
      </w:r>
    </w:p>
    <w:p w14:paraId="41B14EAF" w14:textId="64A41C42" w:rsidR="2623EFD6" w:rsidRPr="00A91219" w:rsidRDefault="00FF3161" w:rsidP="00A91219">
      <w:pPr>
        <w:spacing w:line="276" w:lineRule="auto"/>
      </w:pPr>
      <w:r w:rsidRPr="023F16EC">
        <w:rPr>
          <w:rFonts w:ascii="Muli" w:eastAsia="Muli" w:hAnsi="Muli" w:cs="Muli"/>
        </w:rPr>
        <w:t xml:space="preserve">Las zonas de alta </w:t>
      </w:r>
      <w:r w:rsidR="732BACCA" w:rsidRPr="023F16EC">
        <w:rPr>
          <w:rFonts w:ascii="Muli" w:eastAsia="Muli" w:hAnsi="Muli" w:cs="Muli"/>
        </w:rPr>
        <w:t xml:space="preserve">demanda </w:t>
      </w:r>
      <w:r w:rsidRPr="023F16EC">
        <w:rPr>
          <w:rFonts w:ascii="Muli" w:eastAsia="Muli" w:hAnsi="Muli" w:cs="Muli"/>
        </w:rPr>
        <w:t>de compra como</w:t>
      </w:r>
      <w:r w:rsidRPr="023F16EC">
        <w:rPr>
          <w:rFonts w:ascii="Muli" w:eastAsia="Muli" w:hAnsi="Muli" w:cs="Muli"/>
          <w:b/>
          <w:bCs/>
        </w:rPr>
        <w:t xml:space="preserve"> </w:t>
      </w:r>
      <w:r w:rsidRPr="023F16EC">
        <w:rPr>
          <w:rFonts w:ascii="Muli" w:eastAsia="Muli" w:hAnsi="Muli" w:cs="Muli"/>
        </w:rPr>
        <w:t>Cataluña, la Comunidad de Madrid y País Vasco muestran diferenciales de esfuerzo superiores a los 15 puntos porcentuales, convirtiendo la compra en la única vía lógica para un ahorro doméstico real</w:t>
      </w:r>
      <w:r w:rsidRPr="00422015">
        <w:rPr>
          <w:rFonts w:ascii="Muli" w:eastAsia="Muli" w:hAnsi="Muli" w:cs="Muli"/>
        </w:rPr>
        <w:t>. Y zonas tensionadas como las Islas Baleares</w:t>
      </w:r>
      <w:r w:rsidRPr="023F16EC">
        <w:rPr>
          <w:rFonts w:ascii="Muli" w:eastAsia="Muli" w:hAnsi="Muli" w:cs="Muli"/>
        </w:rPr>
        <w:t xml:space="preserve"> que se posiciona como el caso más crítico</w:t>
      </w:r>
      <w:r w:rsidR="780E00D3" w:rsidRPr="023F16EC">
        <w:rPr>
          <w:rFonts w:ascii="Muli" w:eastAsia="Muli" w:hAnsi="Muli" w:cs="Muli"/>
        </w:rPr>
        <w:t>.</w:t>
      </w:r>
      <w:r w:rsidRPr="023F16EC">
        <w:rPr>
          <w:rFonts w:ascii="Muli" w:eastAsia="Muli" w:hAnsi="Muli" w:cs="Muli"/>
        </w:rPr>
        <w:t xml:space="preserve"> </w:t>
      </w:r>
      <w:r w:rsidR="48A12C9A" w:rsidRPr="023F16EC">
        <w:rPr>
          <w:rFonts w:ascii="Muli" w:eastAsia="Muli" w:hAnsi="Muli" w:cs="Muli"/>
        </w:rPr>
        <w:t>D</w:t>
      </w:r>
      <w:r w:rsidRPr="023F16EC">
        <w:rPr>
          <w:rFonts w:ascii="Muli" w:eastAsia="Muli" w:hAnsi="Muli" w:cs="Muli"/>
        </w:rPr>
        <w:t>onde la compra</w:t>
      </w:r>
      <w:r w:rsidR="119C24B2" w:rsidRPr="023F16EC">
        <w:rPr>
          <w:rFonts w:ascii="Muli" w:eastAsia="Muli" w:hAnsi="Muli" w:cs="Muli"/>
        </w:rPr>
        <w:t xml:space="preserve"> es </w:t>
      </w:r>
      <w:r w:rsidR="2DE76A3A" w:rsidRPr="023F16EC">
        <w:rPr>
          <w:rFonts w:ascii="Muli" w:eastAsia="Muli" w:hAnsi="Muli" w:cs="Muli"/>
        </w:rPr>
        <w:t>un 36,90</w:t>
      </w:r>
      <w:r w:rsidR="79B74A2B" w:rsidRPr="023F16EC">
        <w:rPr>
          <w:rFonts w:ascii="Muli" w:eastAsia="Muli" w:hAnsi="Muli" w:cs="Muli"/>
        </w:rPr>
        <w:t>%</w:t>
      </w:r>
      <w:r w:rsidR="0A67C5EC" w:rsidRPr="023F16EC">
        <w:rPr>
          <w:rFonts w:ascii="Muli" w:eastAsia="Muli" w:hAnsi="Muli" w:cs="Muli"/>
        </w:rPr>
        <w:t xml:space="preserve"> del sueldo medio (44.457 euros al año) </w:t>
      </w:r>
      <w:r w:rsidR="79B74A2B" w:rsidRPr="023F16EC">
        <w:rPr>
          <w:rFonts w:ascii="Muli" w:eastAsia="Muli" w:hAnsi="Muli" w:cs="Muli"/>
        </w:rPr>
        <w:t xml:space="preserve">frente al 39,57% del esfuerzo del alquiler, </w:t>
      </w:r>
      <w:r w:rsidR="009D4BEA">
        <w:rPr>
          <w:rFonts w:ascii="Muli" w:eastAsia="Muli" w:hAnsi="Muli" w:cs="Muli"/>
        </w:rPr>
        <w:t>“En Baleares el suelo está tan tensionado que tanto el alquiler como la compra ya son inaccesibles para gran parte de sus ciudadanos. En este caso se necesita más oferta de vivienda tanto de alquiler como de compra para intentar revertir esta situación”, destaca Laura Martínez.</w:t>
      </w:r>
      <w:r w:rsidR="2623EFD6">
        <w:rPr>
          <w:noProof/>
        </w:rPr>
        <w:drawing>
          <wp:inline distT="0" distB="0" distL="0" distR="0" wp14:anchorId="12F7BDDC" wp14:editId="5BF8B6F3">
            <wp:extent cx="5030064" cy="3930015"/>
            <wp:effectExtent l="0" t="0" r="0" b="0"/>
            <wp:docPr id="1382600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00959" name=""/>
                    <pic:cNvPicPr/>
                  </pic:nvPicPr>
                  <pic:blipFill>
                    <a:blip r:embed="rId8">
                      <a:extLst>
                        <a:ext uri="{28A0092B-C50C-407E-A947-70E740481C1C}">
                          <a14:useLocalDpi xmlns:a14="http://schemas.microsoft.com/office/drawing/2010/main" val="0"/>
                        </a:ext>
                      </a:extLst>
                    </a:blip>
                    <a:stretch>
                      <a:fillRect/>
                    </a:stretch>
                  </pic:blipFill>
                  <pic:spPr>
                    <a:xfrm>
                      <a:off x="0" y="0"/>
                      <a:ext cx="5034188" cy="3933237"/>
                    </a:xfrm>
                    <a:prstGeom prst="rect">
                      <a:avLst/>
                    </a:prstGeom>
                  </pic:spPr>
                </pic:pic>
              </a:graphicData>
            </a:graphic>
          </wp:inline>
        </w:drawing>
      </w:r>
    </w:p>
    <w:p w14:paraId="4E0A42D9" w14:textId="77777777" w:rsidR="00DA3BC5" w:rsidRDefault="00DA3BC5" w:rsidP="00DA3BC5">
      <w:pPr>
        <w:rPr>
          <w:rFonts w:ascii="Muli" w:eastAsia="Muli" w:hAnsi="Muli" w:cs="Muli"/>
        </w:rPr>
      </w:pPr>
      <w:r w:rsidRPr="023F16EC">
        <w:rPr>
          <w:rFonts w:ascii="Muli" w:eastAsia="Muli" w:hAnsi="Muli" w:cs="Muli"/>
        </w:rPr>
        <w:t xml:space="preserve">Entre las comunidades con el precio medio hipotecado más bajo se sitúan Extremadura (123.057,69 euros), la Región de Murcia (140.225,85 euros) y La Rioja (147.835,69 euros). </w:t>
      </w:r>
    </w:p>
    <w:p w14:paraId="7AB356A5" w14:textId="77777777" w:rsidR="00DA3BC5" w:rsidRDefault="00DA3BC5" w:rsidP="00DA3BC5">
      <w:pPr>
        <w:rPr>
          <w:rFonts w:ascii="Muli" w:eastAsia="Muli" w:hAnsi="Muli" w:cs="Muli"/>
        </w:rPr>
      </w:pPr>
      <w:r w:rsidRPr="023F16EC">
        <w:rPr>
          <w:rFonts w:ascii="Muli" w:eastAsia="Muli" w:hAnsi="Muli" w:cs="Muli"/>
        </w:rPr>
        <w:t xml:space="preserve">En el lado opuesto, las comunidades dónde el precio medio del alquiler es más bajo son Extremadura (533,74 euros/mes), La Rioja (643,14 euros) y Castilla-La Mancha (611,73 euros).  </w:t>
      </w:r>
    </w:p>
    <w:p w14:paraId="17924F5E" w14:textId="4FB6C8BF" w:rsidR="00352A08" w:rsidRPr="00E93A52" w:rsidRDefault="3D7A8A6C" w:rsidP="023F16EC">
      <w:r w:rsidRPr="023F16EC">
        <w:rPr>
          <w:rFonts w:ascii="Muli" w:eastAsia="Muli" w:hAnsi="Muli" w:cs="Muli"/>
          <w:b/>
          <w:bCs/>
          <w:color w:val="243962"/>
        </w:rPr>
        <w:t>El esfuerzo hipotecario sube 2 puntos en cuatro años</w:t>
      </w:r>
    </w:p>
    <w:p w14:paraId="48C998FA" w14:textId="30DE5228" w:rsidR="00352A08" w:rsidRPr="00E93A52" w:rsidRDefault="00352A08" w:rsidP="023F16EC">
      <w:pPr>
        <w:rPr>
          <w:rFonts w:ascii="Muli" w:hAnsi="Muli"/>
        </w:rPr>
      </w:pPr>
      <w:r w:rsidRPr="023F16EC">
        <w:rPr>
          <w:rFonts w:ascii="Muli" w:eastAsia="Muli" w:hAnsi="Muli" w:cs="Muli"/>
        </w:rPr>
        <w:t>El informe de iAhorro también permite observar la resiliencia del comprador frente al inquilino.</w:t>
      </w:r>
      <w:r w:rsidR="00D00181" w:rsidRPr="023F16EC">
        <w:rPr>
          <w:rFonts w:ascii="Muli" w:eastAsia="Muli" w:hAnsi="Muli" w:cs="Muli"/>
        </w:rPr>
        <w:t xml:space="preserve"> </w:t>
      </w:r>
      <w:r w:rsidRPr="023F16EC">
        <w:rPr>
          <w:rFonts w:ascii="Muli" w:eastAsia="Muli" w:hAnsi="Muli" w:cs="Muli"/>
        </w:rPr>
        <w:t xml:space="preserve">En agosto de 2022, el esfuerzo hipotecario nacional se situaba en torno al 26%. Durante el proceso de endurecimiento de </w:t>
      </w:r>
      <w:r w:rsidR="00BD1A0F" w:rsidRPr="023F16EC">
        <w:rPr>
          <w:rFonts w:ascii="Muli" w:eastAsia="Muli" w:hAnsi="Muli" w:cs="Muli"/>
        </w:rPr>
        <w:t xml:space="preserve">la </w:t>
      </w:r>
      <w:r w:rsidRPr="023F16EC">
        <w:rPr>
          <w:rFonts w:ascii="Muli" w:eastAsia="Muli" w:hAnsi="Muli" w:cs="Muli"/>
        </w:rPr>
        <w:t xml:space="preserve">política monetaria del </w:t>
      </w:r>
      <w:r w:rsidR="00845553" w:rsidRPr="023F16EC">
        <w:rPr>
          <w:rFonts w:ascii="Muli" w:eastAsia="Muli" w:hAnsi="Muli" w:cs="Muli"/>
        </w:rPr>
        <w:t>Banco Central</w:t>
      </w:r>
      <w:r w:rsidR="00845553" w:rsidRPr="023F16EC">
        <w:rPr>
          <w:rFonts w:ascii="Muli" w:hAnsi="Muli"/>
        </w:rPr>
        <w:t xml:space="preserve"> Europeo </w:t>
      </w:r>
      <w:r w:rsidR="00845553" w:rsidRPr="023F16EC">
        <w:rPr>
          <w:rFonts w:ascii="Muli" w:hAnsi="Muli"/>
        </w:rPr>
        <w:lastRenderedPageBreak/>
        <w:t>(</w:t>
      </w:r>
      <w:r w:rsidRPr="023F16EC">
        <w:rPr>
          <w:rFonts w:ascii="Muli" w:hAnsi="Muli"/>
        </w:rPr>
        <w:t>BCE</w:t>
      </w:r>
      <w:r w:rsidR="00845553" w:rsidRPr="023F16EC">
        <w:rPr>
          <w:rFonts w:ascii="Muli" w:hAnsi="Muli"/>
        </w:rPr>
        <w:t>)</w:t>
      </w:r>
      <w:r w:rsidRPr="023F16EC">
        <w:rPr>
          <w:rFonts w:ascii="Muli" w:hAnsi="Muli"/>
        </w:rPr>
        <w:t>, vimos un pico de estrés financiero en marzo de 2024, con el esfuerzo hipotecario nacional alcanzando el 34,25%.</w:t>
      </w:r>
    </w:p>
    <w:p w14:paraId="78FE8369" w14:textId="24278BA0" w:rsidR="00352A08" w:rsidRPr="00E93A52" w:rsidRDefault="00CD6516" w:rsidP="00352A08">
      <w:pPr>
        <w:rPr>
          <w:rFonts w:ascii="Muli" w:hAnsi="Muli"/>
        </w:rPr>
      </w:pPr>
      <w:r>
        <w:rPr>
          <w:rFonts w:ascii="Muli" w:hAnsi="Muli"/>
        </w:rPr>
        <w:t>En la actualidad, con unos tipos de interés medios en hipoteca fija en torno al 2% la cuota a 25 años puede estar en torno a los 736 euros</w:t>
      </w:r>
      <w:r w:rsidR="002A3331">
        <w:rPr>
          <w:rFonts w:ascii="Muli" w:hAnsi="Muli"/>
        </w:rPr>
        <w:t xml:space="preserve"> en una vivienda media de unos 100 m</w:t>
      </w:r>
      <w:r w:rsidR="005D383C">
        <w:rPr>
          <w:rFonts w:ascii="Muli" w:hAnsi="Muli"/>
        </w:rPr>
        <w:t>etros cuadrados</w:t>
      </w:r>
      <w:r w:rsidR="00352A08" w:rsidRPr="00E93A52">
        <w:rPr>
          <w:rFonts w:ascii="Muli" w:hAnsi="Muli"/>
        </w:rPr>
        <w:t xml:space="preserve">, </w:t>
      </w:r>
      <w:r w:rsidR="005D383C">
        <w:rPr>
          <w:rFonts w:ascii="Muli" w:hAnsi="Muli"/>
        </w:rPr>
        <w:t xml:space="preserve">de esta manera </w:t>
      </w:r>
      <w:r w:rsidR="00352A08" w:rsidRPr="00E93A52">
        <w:rPr>
          <w:rFonts w:ascii="Muli" w:hAnsi="Muli"/>
        </w:rPr>
        <w:t>el esfuerzo nacional para hipotecarse ha bajado hasta el 22,65%. El mercado del alquiler, lamentablemente, ha mostrado una línea de tendencia mucho más plana y rígida, sin ofrecer correcciones significativas. Alquilar hoy sigue siendo tan caro, o más, que hace dos años</w:t>
      </w:r>
      <w:r w:rsidR="002839AC">
        <w:rPr>
          <w:rFonts w:ascii="Muli" w:hAnsi="Muli"/>
        </w:rPr>
        <w:t xml:space="preserve">, con una media nacional de 1.197,60 euros. </w:t>
      </w:r>
      <w:r w:rsidR="005D383C">
        <w:rPr>
          <w:rFonts w:ascii="Muli" w:hAnsi="Muli"/>
        </w:rPr>
        <w:t xml:space="preserve">“En el caso de la hipoteca, firmar el préstamo en un momento de tipos bajos marca muchísimo la </w:t>
      </w:r>
      <w:r w:rsidR="0044320C">
        <w:rPr>
          <w:rFonts w:ascii="Muli" w:hAnsi="Muli"/>
        </w:rPr>
        <w:t>diferencia</w:t>
      </w:r>
      <w:r w:rsidR="005D383C">
        <w:rPr>
          <w:rFonts w:ascii="Muli" w:hAnsi="Muli"/>
        </w:rPr>
        <w:t xml:space="preserve">, por </w:t>
      </w:r>
      <w:r w:rsidR="0044320C">
        <w:rPr>
          <w:rFonts w:ascii="Muli" w:hAnsi="Muli"/>
        </w:rPr>
        <w:t>ejemplo,</w:t>
      </w:r>
      <w:r w:rsidR="005D383C">
        <w:rPr>
          <w:rFonts w:ascii="Muli" w:hAnsi="Muli"/>
        </w:rPr>
        <w:t xml:space="preserve"> en 2021 el tipo fijo estuvo por debajo del 1% en ese caso el esfuerzo </w:t>
      </w:r>
      <w:r w:rsidR="0044320C">
        <w:rPr>
          <w:rFonts w:ascii="Muli" w:hAnsi="Muli"/>
        </w:rPr>
        <w:t xml:space="preserve">bajó muchísimo. Sin embargo, en las épocas en las que los tipos de interés de las hipotecas han estado por encima del 4% el esfuerzo hipotecario se disparaba en comparación con el alquiler. Negocia un buen tipo de interés en clave al firmar la hipoteca porque va a ser el mismo para toda la vida, mientras que en el alquiler </w:t>
      </w:r>
      <w:r w:rsidR="00657E8F">
        <w:rPr>
          <w:rFonts w:ascii="Muli" w:hAnsi="Muli"/>
        </w:rPr>
        <w:t xml:space="preserve">tu cuota subirá conformen pasen los años”, apunta la portavoz de iAhorro. </w:t>
      </w:r>
    </w:p>
    <w:p w14:paraId="64BEEB30" w14:textId="77777777" w:rsidR="008A3611" w:rsidRPr="00E93A52" w:rsidRDefault="008A3611" w:rsidP="006467DF">
      <w:pPr>
        <w:ind w:left="708" w:hanging="708"/>
        <w:rPr>
          <w:rFonts w:ascii="Muli" w:hAnsi="Muli"/>
        </w:rPr>
      </w:pPr>
    </w:p>
    <w:p w14:paraId="0EF0A8C3" w14:textId="77777777" w:rsidR="00113AD7" w:rsidRPr="00E93A52" w:rsidRDefault="00113AD7" w:rsidP="00113AD7">
      <w:pPr>
        <w:rPr>
          <w:rStyle w:val="contentpasted0"/>
          <w:rFonts w:ascii="Muli" w:hAnsi="Muli"/>
          <w:color w:val="000000"/>
          <w:lang w:val="es-ES_tradnl"/>
        </w:rPr>
      </w:pPr>
      <w:r w:rsidRPr="00E93A52">
        <w:rPr>
          <w:rStyle w:val="contentpasted0"/>
          <w:rFonts w:ascii="Muli" w:hAnsi="Muli"/>
          <w:b/>
          <w:bCs/>
          <w:color w:val="243962"/>
          <w:lang w:val="es-ES_tradnl"/>
        </w:rPr>
        <w:t xml:space="preserve">Si necesita más información o declaraciones en formato audiovisual: </w:t>
      </w:r>
      <w:r w:rsidRPr="00E93A52">
        <w:rPr>
          <w:rStyle w:val="contentpasted0"/>
          <w:rFonts w:ascii="Muli" w:hAnsi="Muli"/>
          <w:color w:val="000000"/>
          <w:lang w:val="es-ES_tradnl"/>
        </w:rPr>
        <w:t>Póngase en contacto con el departamento de Comunicación. </w:t>
      </w:r>
    </w:p>
    <w:p w14:paraId="4186F750" w14:textId="77777777" w:rsidR="00113AD7" w:rsidRPr="00E93A52" w:rsidRDefault="00113AD7" w:rsidP="00113AD7">
      <w:pPr>
        <w:rPr>
          <w:rStyle w:val="contentpasted0"/>
          <w:rFonts w:ascii="Muli" w:hAnsi="Muli"/>
          <w:color w:val="000000"/>
          <w:lang w:val="es-ES_tradnl"/>
        </w:rPr>
      </w:pPr>
    </w:p>
    <w:p w14:paraId="71CA93EC" w14:textId="77777777" w:rsidR="00113AD7" w:rsidRPr="00E93A52" w:rsidRDefault="00113AD7" w:rsidP="00113AD7">
      <w:pPr>
        <w:rPr>
          <w:rFonts w:ascii="Muli" w:hAnsi="Muli"/>
          <w:b/>
          <w:color w:val="243962"/>
        </w:rPr>
      </w:pPr>
      <w:r w:rsidRPr="57269314">
        <w:rPr>
          <w:rFonts w:ascii="Muli" w:hAnsi="Muli"/>
          <w:b/>
          <w:color w:val="243962"/>
        </w:rPr>
        <w:t xml:space="preserve">Sobre iAhorro </w:t>
      </w:r>
    </w:p>
    <w:p w14:paraId="0399B91A" w14:textId="77777777" w:rsidR="00113AD7" w:rsidRPr="00E93A52" w:rsidRDefault="00113AD7" w:rsidP="00113AD7">
      <w:pPr>
        <w:rPr>
          <w:rFonts w:ascii="Muli" w:hAnsi="Muli"/>
        </w:rPr>
      </w:pPr>
      <w:r w:rsidRPr="00E93A52">
        <w:rPr>
          <w:rFonts w:ascii="Muli" w:hAnsi="Muli"/>
        </w:rPr>
        <w:t>iAhorro es el asesor hipotecario líder en España. El objetivo de la empresa es ayudar a los usuarios a contratar las hipotecas que mejor se adapten a sus necesidades.</w:t>
      </w:r>
    </w:p>
    <w:p w14:paraId="3B5ED15E" w14:textId="77777777" w:rsidR="00113AD7" w:rsidRPr="00E93A52" w:rsidRDefault="00113AD7" w:rsidP="00113AD7">
      <w:pPr>
        <w:rPr>
          <w:rFonts w:ascii="Muli" w:hAnsi="Muli"/>
        </w:rPr>
      </w:pPr>
      <w:r w:rsidRPr="00E93A52">
        <w:rPr>
          <w:rFonts w:ascii="Muli" w:hAnsi="Muli"/>
        </w:rPr>
        <w:t xml:space="preserve">iAhorro está certificada como empresa Intermediaria de Crédito Inmobiliario nºD185 por el Banco de España. iAhorro es una empresa independiente de las entidades financieras. Es propiedad del Grupo BC y está respaldado por el fondo Silver Lake. </w:t>
      </w:r>
    </w:p>
    <w:p w14:paraId="3F92E275" w14:textId="77777777" w:rsidR="00113AD7" w:rsidRPr="00E93A52" w:rsidRDefault="00113AD7" w:rsidP="00113AD7">
      <w:pPr>
        <w:rPr>
          <w:rFonts w:ascii="Muli" w:hAnsi="Muli"/>
        </w:rPr>
      </w:pPr>
      <w:r w:rsidRPr="00E93A52">
        <w:rPr>
          <w:rFonts w:ascii="Muli" w:hAnsi="Muli"/>
        </w:rPr>
        <w:t xml:space="preserve">Fundado en 1974 con sede en Madrid, Grupo BC es el proveedor líder de servicios y software para la gestión hipotecaria, intermediación hipotecaria online, soluciones legales (tramitación de reclamaciones y gestión de préstamos) y soluciones digitales para el sector financiero en España, Portugal, México, Brasil, Colombia, Chile y Perú. Grupo BC es líder del mercado en sus principales áreas de interés, con más de 500.000 expedientes hipotecarios procesados al año y 5.300 colaboradores. </w:t>
      </w:r>
    </w:p>
    <w:p w14:paraId="38524656" w14:textId="60C3F123" w:rsidR="008F7397" w:rsidRPr="00E93A52" w:rsidRDefault="00113AD7">
      <w:pPr>
        <w:rPr>
          <w:rFonts w:ascii="Muli" w:hAnsi="Muli"/>
        </w:rPr>
      </w:pPr>
      <w:r w:rsidRPr="00E93A52">
        <w:rPr>
          <w:rFonts w:ascii="Muli" w:hAnsi="Muli"/>
        </w:rPr>
        <w:t>Silver Lake es una firma global de inversión en compañías tecnológicas, con más de 101.000 millones de dólares en activos bajo gestión y capital comprometido y un equipo de profesionales en Norteamérica, Europa y Asia. Las empresas en la cartera de Silver Lake generan colectivamente más de 266.000 millones de dólares de facturación anual y emplean a más de 540.000 personas en todo el mundo.</w:t>
      </w:r>
    </w:p>
    <w:sectPr w:rsidR="008F7397" w:rsidRPr="00E93A52" w:rsidSect="00113AD7">
      <w:headerReference w:type="default" r:id="rId9"/>
      <w:footerReference w:type="default" r:id="rId10"/>
      <w:pgSz w:w="11906" w:h="16838"/>
      <w:pgMar w:top="1417" w:right="1701" w:bottom="1417"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40C2B" w14:textId="77777777" w:rsidR="006B455D" w:rsidRDefault="006B455D" w:rsidP="00113AD7">
      <w:pPr>
        <w:spacing w:after="0" w:line="240" w:lineRule="auto"/>
      </w:pPr>
      <w:r>
        <w:separator/>
      </w:r>
    </w:p>
  </w:endnote>
  <w:endnote w:type="continuationSeparator" w:id="0">
    <w:p w14:paraId="4D1DF18B" w14:textId="77777777" w:rsidR="006B455D" w:rsidRDefault="006B455D" w:rsidP="0011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uli">
    <w:altName w:val="Calibri"/>
    <w:charset w:val="00"/>
    <w:family w:val="auto"/>
    <w:pitch w:val="variable"/>
    <w:sig w:usb0="A00000FF" w:usb1="5000204B" w:usb2="00000000" w:usb3="00000000" w:csb0="00000193" w:csb1="00000000"/>
  </w:font>
  <w:font w:name="Montserrat">
    <w:altName w:val="Calibri"/>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7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775"/>
      <w:gridCol w:w="2337"/>
    </w:tblGrid>
    <w:tr w:rsidR="00D400F9" w:rsidRPr="006C5338" w14:paraId="6638AC52" w14:textId="77777777" w:rsidTr="023F16EC">
      <w:trPr>
        <w:trHeight w:val="132"/>
      </w:trPr>
      <w:tc>
        <w:tcPr>
          <w:tcW w:w="1980" w:type="dxa"/>
          <w:vAlign w:val="center"/>
        </w:tcPr>
        <w:p w14:paraId="22433B47" w14:textId="77777777" w:rsidR="00D400F9" w:rsidRDefault="00D400F9" w:rsidP="00D400F9">
          <w:pPr>
            <w:pStyle w:val="Piedepgina"/>
            <w:tabs>
              <w:tab w:val="clear" w:pos="4252"/>
              <w:tab w:val="clear" w:pos="8504"/>
              <w:tab w:val="left" w:pos="1036"/>
            </w:tabs>
            <w:rPr>
              <w:b/>
              <w:sz w:val="18"/>
              <w:szCs w:val="18"/>
            </w:rPr>
          </w:pPr>
          <w:r>
            <w:rPr>
              <w:noProof/>
            </w:rPr>
            <w:drawing>
              <wp:inline distT="0" distB="0" distL="0" distR="0" wp14:anchorId="2737A0C1" wp14:editId="1C1ED339">
                <wp:extent cx="1041991" cy="493123"/>
                <wp:effectExtent l="0" t="0" r="0" b="0"/>
                <wp:docPr id="42289635" name="Gráfico 42289635">
                  <a:extLst xmlns:a="http://schemas.openxmlformats.org/drawingml/2006/main">
                    <a:ext uri="{FF2B5EF4-FFF2-40B4-BE49-F238E27FC236}">
                      <a16:creationId xmlns:a16="http://schemas.microsoft.com/office/drawing/2014/main" id="{4EF5E504-6C63-4BF7-9BED-EFB65E0FD1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3646" cy="522301"/>
                        </a:xfrm>
                        <a:prstGeom prst="rect">
                          <a:avLst/>
                        </a:prstGeom>
                      </pic:spPr>
                    </pic:pic>
                  </a:graphicData>
                </a:graphic>
              </wp:inline>
            </w:drawing>
          </w:r>
        </w:p>
      </w:tc>
      <w:tc>
        <w:tcPr>
          <w:tcW w:w="2775" w:type="dxa"/>
          <w:vAlign w:val="center"/>
        </w:tcPr>
        <w:p w14:paraId="0845D7CE" w14:textId="77777777" w:rsidR="00D400F9" w:rsidRDefault="00D400F9" w:rsidP="00D400F9">
          <w:pPr>
            <w:pStyle w:val="Piedepgina"/>
            <w:tabs>
              <w:tab w:val="clear" w:pos="4252"/>
              <w:tab w:val="clear" w:pos="8504"/>
              <w:tab w:val="left" w:pos="1036"/>
            </w:tabs>
            <w:rPr>
              <w:b/>
              <w:sz w:val="18"/>
              <w:szCs w:val="18"/>
            </w:rPr>
          </w:pPr>
        </w:p>
        <w:p w14:paraId="7A74B879" w14:textId="77777777" w:rsidR="00D400F9" w:rsidRPr="00204B1C" w:rsidRDefault="00D400F9" w:rsidP="00D400F9">
          <w:pPr>
            <w:pStyle w:val="Piedepgina"/>
            <w:tabs>
              <w:tab w:val="clear" w:pos="4252"/>
              <w:tab w:val="clear" w:pos="8504"/>
              <w:tab w:val="left" w:pos="1036"/>
            </w:tabs>
            <w:rPr>
              <w:b/>
              <w:sz w:val="18"/>
              <w:szCs w:val="18"/>
            </w:rPr>
          </w:pPr>
          <w:r w:rsidRPr="009458B8">
            <w:rPr>
              <w:b/>
              <w:sz w:val="18"/>
              <w:szCs w:val="18"/>
            </w:rPr>
            <w:t>Laura Martínez</w:t>
          </w:r>
          <w:r w:rsidRPr="009458B8">
            <w:rPr>
              <w:sz w:val="18"/>
              <w:szCs w:val="18"/>
            </w:rPr>
            <w:t xml:space="preserve"> </w:t>
          </w:r>
          <w:r>
            <w:rPr>
              <w:sz w:val="18"/>
              <w:szCs w:val="18"/>
            </w:rPr>
            <w:t>– 686 688 757</w:t>
          </w:r>
          <w:r w:rsidRPr="009458B8">
            <w:rPr>
              <w:sz w:val="18"/>
              <w:szCs w:val="18"/>
            </w:rPr>
            <w:br/>
          </w:r>
          <w:hyperlink r:id="rId3" w:history="1">
            <w:r w:rsidRPr="009458B8">
              <w:rPr>
                <w:rStyle w:val="Hipervnculo"/>
                <w:sz w:val="18"/>
                <w:szCs w:val="18"/>
              </w:rPr>
              <w:t>laura.martinez@iahorro.com</w:t>
            </w:r>
          </w:hyperlink>
          <w:r w:rsidRPr="009458B8">
            <w:rPr>
              <w:sz w:val="18"/>
              <w:szCs w:val="18"/>
            </w:rPr>
            <w:t xml:space="preserve"> </w:t>
          </w:r>
        </w:p>
        <w:p w14:paraId="6AD5F476" w14:textId="77777777" w:rsidR="00D400F9" w:rsidRPr="00204B1C" w:rsidRDefault="00D400F9" w:rsidP="00D400F9">
          <w:pPr>
            <w:pStyle w:val="Piedepgina"/>
            <w:tabs>
              <w:tab w:val="clear" w:pos="4252"/>
              <w:tab w:val="clear" w:pos="8504"/>
              <w:tab w:val="left" w:pos="1036"/>
            </w:tabs>
            <w:rPr>
              <w:b/>
              <w:sz w:val="18"/>
              <w:szCs w:val="18"/>
            </w:rPr>
          </w:pPr>
        </w:p>
      </w:tc>
      <w:tc>
        <w:tcPr>
          <w:tcW w:w="2337" w:type="dxa"/>
          <w:vAlign w:val="center"/>
        </w:tcPr>
        <w:p w14:paraId="2D105279" w14:textId="789D6D44" w:rsidR="00D400F9" w:rsidRPr="00B34F7A" w:rsidRDefault="00D400F9" w:rsidP="00D400F9">
          <w:pPr>
            <w:pStyle w:val="Piedepgina"/>
            <w:tabs>
              <w:tab w:val="clear" w:pos="4252"/>
              <w:tab w:val="clear" w:pos="8504"/>
              <w:tab w:val="left" w:pos="1036"/>
            </w:tabs>
            <w:rPr>
              <w:b/>
              <w:sz w:val="18"/>
              <w:szCs w:val="18"/>
              <w:lang w:val="pt-PT"/>
            </w:rPr>
          </w:pPr>
        </w:p>
      </w:tc>
    </w:tr>
  </w:tbl>
  <w:p w14:paraId="2ECFEF77" w14:textId="77777777" w:rsidR="00D400F9" w:rsidRPr="006C5338" w:rsidRDefault="00D400F9">
    <w:pPr>
      <w:pStyle w:val="Piedepgina"/>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BC2D" w14:textId="77777777" w:rsidR="006B455D" w:rsidRDefault="006B455D" w:rsidP="00113AD7">
      <w:pPr>
        <w:spacing w:after="0" w:line="240" w:lineRule="auto"/>
      </w:pPr>
      <w:r>
        <w:separator/>
      </w:r>
    </w:p>
  </w:footnote>
  <w:footnote w:type="continuationSeparator" w:id="0">
    <w:p w14:paraId="126B06E0" w14:textId="77777777" w:rsidR="006B455D" w:rsidRDefault="006B455D" w:rsidP="0011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E9F3" w14:textId="76E336A1" w:rsidR="00113AD7" w:rsidRDefault="00113AD7" w:rsidP="005F2F9F">
    <w:pPr>
      <w:pStyle w:val="Encabezado"/>
      <w:tabs>
        <w:tab w:val="clear" w:pos="4252"/>
        <w:tab w:val="clear" w:pos="8504"/>
        <w:tab w:val="left" w:pos="3415"/>
        <w:tab w:val="left" w:pos="3492"/>
      </w:tabs>
    </w:pPr>
    <w:r w:rsidRPr="00942871">
      <w:rPr>
        <w:noProof/>
      </w:rPr>
      <w:drawing>
        <wp:anchor distT="0" distB="0" distL="114300" distR="114300" simplePos="0" relativeHeight="251658240" behindDoc="0" locked="0" layoutInCell="1" allowOverlap="1" wp14:anchorId="19AA6133" wp14:editId="385F936E">
          <wp:simplePos x="0" y="0"/>
          <wp:positionH relativeFrom="margin">
            <wp:posOffset>4072890</wp:posOffset>
          </wp:positionH>
          <wp:positionV relativeFrom="topMargin">
            <wp:posOffset>333375</wp:posOffset>
          </wp:positionV>
          <wp:extent cx="1509395" cy="714375"/>
          <wp:effectExtent l="0" t="0" r="0" b="0"/>
          <wp:wrapSquare wrapText="bothSides"/>
          <wp:docPr id="936040866" name="Imagen 936040866">
            <a:extLst xmlns:a="http://schemas.openxmlformats.org/drawingml/2006/main">
              <a:ext uri="{FF2B5EF4-FFF2-40B4-BE49-F238E27FC236}">
                <a16:creationId xmlns:a16="http://schemas.microsoft.com/office/drawing/2014/main" id="{F4DC8E75-F55E-4589-8198-5556A7E2A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9395" cy="714375"/>
                  </a:xfrm>
                  <a:prstGeom prst="rect">
                    <a:avLst/>
                  </a:prstGeom>
                </pic:spPr>
              </pic:pic>
            </a:graphicData>
          </a:graphic>
        </wp:anchor>
      </w:drawing>
    </w:r>
    <w:r>
      <w:rPr>
        <w:noProof/>
      </w:rPr>
      <w:drawing>
        <wp:inline distT="0" distB="0" distL="0" distR="0" wp14:anchorId="45A7BBC0" wp14:editId="4EDA97F4">
          <wp:extent cx="1945758" cy="921312"/>
          <wp:effectExtent l="0" t="0" r="0" b="0"/>
          <wp:docPr id="1228877611" name="Gráfico 1228877611">
            <a:extLst xmlns:a="http://schemas.openxmlformats.org/drawingml/2006/main">
              <a:ext uri="{FF2B5EF4-FFF2-40B4-BE49-F238E27FC236}">
                <a16:creationId xmlns:a16="http://schemas.microsoft.com/office/drawing/2014/main" id="{67FC878B-C201-4882-9DD1-7C5D219D50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945758" cy="921312"/>
                  </a:xfrm>
                  <a:prstGeom prst="rect">
                    <a:avLst/>
                  </a:prstGeom>
                </pic:spPr>
              </pic:pic>
            </a:graphicData>
          </a:graphic>
        </wp:inline>
      </w:drawing>
    </w:r>
  </w:p>
  <w:p w14:paraId="31FFB63B" w14:textId="77777777" w:rsidR="00ED240D" w:rsidRDefault="00ED240D" w:rsidP="005F2F9F">
    <w:pPr>
      <w:pStyle w:val="Encabezado"/>
      <w:tabs>
        <w:tab w:val="clear" w:pos="4252"/>
        <w:tab w:val="clear" w:pos="8504"/>
        <w:tab w:val="left" w:pos="3415"/>
        <w:tab w:val="left" w:pos="349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70629"/>
    <w:multiLevelType w:val="multilevel"/>
    <w:tmpl w:val="1CD810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9143BC"/>
    <w:multiLevelType w:val="multilevel"/>
    <w:tmpl w:val="A3D80E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A11B8"/>
    <w:multiLevelType w:val="multilevel"/>
    <w:tmpl w:val="EA5086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A6A9B"/>
    <w:multiLevelType w:val="multilevel"/>
    <w:tmpl w:val="189683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AF55E2"/>
    <w:multiLevelType w:val="hybridMultilevel"/>
    <w:tmpl w:val="1FDA7848"/>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92047112">
    <w:abstractNumId w:val="2"/>
  </w:num>
  <w:num w:numId="2" w16cid:durableId="1352611688">
    <w:abstractNumId w:val="0"/>
  </w:num>
  <w:num w:numId="3" w16cid:durableId="1946963162">
    <w:abstractNumId w:val="3"/>
  </w:num>
  <w:num w:numId="4" w16cid:durableId="427968206">
    <w:abstractNumId w:val="4"/>
  </w:num>
  <w:num w:numId="5" w16cid:durableId="959842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D7"/>
    <w:rsid w:val="00000D8E"/>
    <w:rsid w:val="00024BC1"/>
    <w:rsid w:val="00033D09"/>
    <w:rsid w:val="00040794"/>
    <w:rsid w:val="000475B9"/>
    <w:rsid w:val="00050BAF"/>
    <w:rsid w:val="000520EE"/>
    <w:rsid w:val="0005306D"/>
    <w:rsid w:val="000566C6"/>
    <w:rsid w:val="0006529C"/>
    <w:rsid w:val="000710F9"/>
    <w:rsid w:val="00077FF3"/>
    <w:rsid w:val="0008257A"/>
    <w:rsid w:val="00093707"/>
    <w:rsid w:val="000A14BD"/>
    <w:rsid w:val="000A7BF9"/>
    <w:rsid w:val="000A7D59"/>
    <w:rsid w:val="000B197E"/>
    <w:rsid w:val="000B648E"/>
    <w:rsid w:val="000B75A3"/>
    <w:rsid w:val="000C5D82"/>
    <w:rsid w:val="000D0BEF"/>
    <w:rsid w:val="000E375F"/>
    <w:rsid w:val="000E615C"/>
    <w:rsid w:val="000F11ED"/>
    <w:rsid w:val="000F210A"/>
    <w:rsid w:val="000F2E3C"/>
    <w:rsid w:val="000F4A71"/>
    <w:rsid w:val="000F61BE"/>
    <w:rsid w:val="001012B2"/>
    <w:rsid w:val="00103360"/>
    <w:rsid w:val="00107156"/>
    <w:rsid w:val="00110B79"/>
    <w:rsid w:val="0011306C"/>
    <w:rsid w:val="00113AD7"/>
    <w:rsid w:val="00115091"/>
    <w:rsid w:val="001208D6"/>
    <w:rsid w:val="001254CE"/>
    <w:rsid w:val="001363B3"/>
    <w:rsid w:val="00136760"/>
    <w:rsid w:val="0014369C"/>
    <w:rsid w:val="00155BB4"/>
    <w:rsid w:val="00161790"/>
    <w:rsid w:val="001668D7"/>
    <w:rsid w:val="001723D5"/>
    <w:rsid w:val="00172D72"/>
    <w:rsid w:val="00173068"/>
    <w:rsid w:val="00181A56"/>
    <w:rsid w:val="001820DE"/>
    <w:rsid w:val="0018371E"/>
    <w:rsid w:val="00187F5F"/>
    <w:rsid w:val="001903B9"/>
    <w:rsid w:val="001911D6"/>
    <w:rsid w:val="00195DE3"/>
    <w:rsid w:val="001B0BA5"/>
    <w:rsid w:val="001B0F85"/>
    <w:rsid w:val="001B5D54"/>
    <w:rsid w:val="001B6DCC"/>
    <w:rsid w:val="001C2FD3"/>
    <w:rsid w:val="001C636F"/>
    <w:rsid w:val="001D3762"/>
    <w:rsid w:val="001E1F4A"/>
    <w:rsid w:val="002077E7"/>
    <w:rsid w:val="00211A03"/>
    <w:rsid w:val="002135E4"/>
    <w:rsid w:val="00225176"/>
    <w:rsid w:val="00226460"/>
    <w:rsid w:val="002317BC"/>
    <w:rsid w:val="00232C76"/>
    <w:rsid w:val="00244180"/>
    <w:rsid w:val="00247EEC"/>
    <w:rsid w:val="00255AB2"/>
    <w:rsid w:val="00267315"/>
    <w:rsid w:val="00273643"/>
    <w:rsid w:val="00275342"/>
    <w:rsid w:val="00275D8C"/>
    <w:rsid w:val="0027620D"/>
    <w:rsid w:val="00277D75"/>
    <w:rsid w:val="002810D2"/>
    <w:rsid w:val="002839AC"/>
    <w:rsid w:val="002870A9"/>
    <w:rsid w:val="00291B79"/>
    <w:rsid w:val="00293388"/>
    <w:rsid w:val="002953C1"/>
    <w:rsid w:val="002A1F04"/>
    <w:rsid w:val="002A22D3"/>
    <w:rsid w:val="002A3331"/>
    <w:rsid w:val="002A53C4"/>
    <w:rsid w:val="002B16A2"/>
    <w:rsid w:val="002B496D"/>
    <w:rsid w:val="002C18AB"/>
    <w:rsid w:val="002C52E5"/>
    <w:rsid w:val="002C556C"/>
    <w:rsid w:val="002C7951"/>
    <w:rsid w:val="002D14E5"/>
    <w:rsid w:val="002D38B6"/>
    <w:rsid w:val="002D578D"/>
    <w:rsid w:val="002E6727"/>
    <w:rsid w:val="002E7944"/>
    <w:rsid w:val="002E7C25"/>
    <w:rsid w:val="00302023"/>
    <w:rsid w:val="0030202F"/>
    <w:rsid w:val="003062DB"/>
    <w:rsid w:val="003112D5"/>
    <w:rsid w:val="003119C9"/>
    <w:rsid w:val="003125FE"/>
    <w:rsid w:val="00314F9A"/>
    <w:rsid w:val="00321D7C"/>
    <w:rsid w:val="00323F64"/>
    <w:rsid w:val="00330BB5"/>
    <w:rsid w:val="00337FAC"/>
    <w:rsid w:val="00350023"/>
    <w:rsid w:val="003527CB"/>
    <w:rsid w:val="00352A08"/>
    <w:rsid w:val="00355432"/>
    <w:rsid w:val="00357CD2"/>
    <w:rsid w:val="00372730"/>
    <w:rsid w:val="00375022"/>
    <w:rsid w:val="00381D98"/>
    <w:rsid w:val="00391884"/>
    <w:rsid w:val="00393E7E"/>
    <w:rsid w:val="003A4F15"/>
    <w:rsid w:val="003A52D3"/>
    <w:rsid w:val="003B5AA4"/>
    <w:rsid w:val="003C6658"/>
    <w:rsid w:val="003D39D6"/>
    <w:rsid w:val="003D6B37"/>
    <w:rsid w:val="003D776C"/>
    <w:rsid w:val="003E099F"/>
    <w:rsid w:val="003E2D3F"/>
    <w:rsid w:val="003E399F"/>
    <w:rsid w:val="0040485D"/>
    <w:rsid w:val="00407C48"/>
    <w:rsid w:val="004116EF"/>
    <w:rsid w:val="0041332B"/>
    <w:rsid w:val="004214B0"/>
    <w:rsid w:val="00422015"/>
    <w:rsid w:val="00425265"/>
    <w:rsid w:val="004300A6"/>
    <w:rsid w:val="004304DA"/>
    <w:rsid w:val="00432731"/>
    <w:rsid w:val="00433F09"/>
    <w:rsid w:val="00441C83"/>
    <w:rsid w:val="0044320C"/>
    <w:rsid w:val="0044453D"/>
    <w:rsid w:val="0044643A"/>
    <w:rsid w:val="0044670A"/>
    <w:rsid w:val="00456773"/>
    <w:rsid w:val="00474510"/>
    <w:rsid w:val="00474950"/>
    <w:rsid w:val="00485926"/>
    <w:rsid w:val="00487382"/>
    <w:rsid w:val="004946EC"/>
    <w:rsid w:val="004959C9"/>
    <w:rsid w:val="004965C5"/>
    <w:rsid w:val="004B0B62"/>
    <w:rsid w:val="004B3A25"/>
    <w:rsid w:val="004B7869"/>
    <w:rsid w:val="004C07CA"/>
    <w:rsid w:val="004C3BA8"/>
    <w:rsid w:val="004D6745"/>
    <w:rsid w:val="004E0C95"/>
    <w:rsid w:val="004E14FE"/>
    <w:rsid w:val="004E5B8C"/>
    <w:rsid w:val="004E6A34"/>
    <w:rsid w:val="004F39BE"/>
    <w:rsid w:val="004F76A9"/>
    <w:rsid w:val="005013E0"/>
    <w:rsid w:val="00510DB0"/>
    <w:rsid w:val="00511EDD"/>
    <w:rsid w:val="00514109"/>
    <w:rsid w:val="00523621"/>
    <w:rsid w:val="005247D1"/>
    <w:rsid w:val="00524953"/>
    <w:rsid w:val="0053243E"/>
    <w:rsid w:val="00540A7F"/>
    <w:rsid w:val="00543380"/>
    <w:rsid w:val="00543C16"/>
    <w:rsid w:val="005440C5"/>
    <w:rsid w:val="00544E9F"/>
    <w:rsid w:val="00547BEE"/>
    <w:rsid w:val="00554A97"/>
    <w:rsid w:val="00556023"/>
    <w:rsid w:val="005568A7"/>
    <w:rsid w:val="005600BA"/>
    <w:rsid w:val="0056082D"/>
    <w:rsid w:val="00560FF5"/>
    <w:rsid w:val="00561E92"/>
    <w:rsid w:val="00573A40"/>
    <w:rsid w:val="00583BE4"/>
    <w:rsid w:val="00594879"/>
    <w:rsid w:val="005957CD"/>
    <w:rsid w:val="00596904"/>
    <w:rsid w:val="00596FFD"/>
    <w:rsid w:val="005A1341"/>
    <w:rsid w:val="005A1BB0"/>
    <w:rsid w:val="005A1EFF"/>
    <w:rsid w:val="005A4731"/>
    <w:rsid w:val="005B2C46"/>
    <w:rsid w:val="005B6505"/>
    <w:rsid w:val="005C2457"/>
    <w:rsid w:val="005C4F75"/>
    <w:rsid w:val="005C5A80"/>
    <w:rsid w:val="005D383C"/>
    <w:rsid w:val="005E4A5F"/>
    <w:rsid w:val="005E6020"/>
    <w:rsid w:val="005F2F9F"/>
    <w:rsid w:val="005F4DE3"/>
    <w:rsid w:val="00600B5A"/>
    <w:rsid w:val="00602E12"/>
    <w:rsid w:val="00615951"/>
    <w:rsid w:val="006237DD"/>
    <w:rsid w:val="006243A5"/>
    <w:rsid w:val="00624769"/>
    <w:rsid w:val="006278F2"/>
    <w:rsid w:val="00630E22"/>
    <w:rsid w:val="00630EDE"/>
    <w:rsid w:val="00643DEA"/>
    <w:rsid w:val="006467DF"/>
    <w:rsid w:val="00646FC2"/>
    <w:rsid w:val="00650A25"/>
    <w:rsid w:val="00655047"/>
    <w:rsid w:val="00657E8F"/>
    <w:rsid w:val="00661F38"/>
    <w:rsid w:val="00666FE5"/>
    <w:rsid w:val="00667984"/>
    <w:rsid w:val="006751A2"/>
    <w:rsid w:val="006A3F19"/>
    <w:rsid w:val="006A5C0F"/>
    <w:rsid w:val="006B2057"/>
    <w:rsid w:val="006B28AE"/>
    <w:rsid w:val="006B455D"/>
    <w:rsid w:val="006B7700"/>
    <w:rsid w:val="006C076F"/>
    <w:rsid w:val="006C4171"/>
    <w:rsid w:val="006C5338"/>
    <w:rsid w:val="006C5D96"/>
    <w:rsid w:val="006D0363"/>
    <w:rsid w:val="006D47CC"/>
    <w:rsid w:val="006E22FB"/>
    <w:rsid w:val="006E2DE0"/>
    <w:rsid w:val="006E3C63"/>
    <w:rsid w:val="006E4E7A"/>
    <w:rsid w:val="006E6105"/>
    <w:rsid w:val="006E66D9"/>
    <w:rsid w:val="006F2132"/>
    <w:rsid w:val="006F289C"/>
    <w:rsid w:val="00716424"/>
    <w:rsid w:val="0072032D"/>
    <w:rsid w:val="007239CB"/>
    <w:rsid w:val="00727C21"/>
    <w:rsid w:val="007307AA"/>
    <w:rsid w:val="00730F3E"/>
    <w:rsid w:val="00732FFB"/>
    <w:rsid w:val="00740848"/>
    <w:rsid w:val="007417D6"/>
    <w:rsid w:val="007509EA"/>
    <w:rsid w:val="00750C4E"/>
    <w:rsid w:val="00753F12"/>
    <w:rsid w:val="00762083"/>
    <w:rsid w:val="0077312B"/>
    <w:rsid w:val="007735A5"/>
    <w:rsid w:val="00773ABD"/>
    <w:rsid w:val="00774F27"/>
    <w:rsid w:val="00781CE0"/>
    <w:rsid w:val="00782B8C"/>
    <w:rsid w:val="00786F1C"/>
    <w:rsid w:val="00791ECE"/>
    <w:rsid w:val="007A7EB4"/>
    <w:rsid w:val="007B31C3"/>
    <w:rsid w:val="007B7631"/>
    <w:rsid w:val="007B7B56"/>
    <w:rsid w:val="007B7DFD"/>
    <w:rsid w:val="007C25FC"/>
    <w:rsid w:val="007D1470"/>
    <w:rsid w:val="007E5588"/>
    <w:rsid w:val="007E674D"/>
    <w:rsid w:val="007E78A3"/>
    <w:rsid w:val="007F374C"/>
    <w:rsid w:val="007F3A02"/>
    <w:rsid w:val="007F7300"/>
    <w:rsid w:val="00805103"/>
    <w:rsid w:val="00821369"/>
    <w:rsid w:val="00824570"/>
    <w:rsid w:val="00826864"/>
    <w:rsid w:val="00832A0C"/>
    <w:rsid w:val="00832F3A"/>
    <w:rsid w:val="008439B2"/>
    <w:rsid w:val="00845553"/>
    <w:rsid w:val="00846D2A"/>
    <w:rsid w:val="00851A31"/>
    <w:rsid w:val="008529E3"/>
    <w:rsid w:val="008569A0"/>
    <w:rsid w:val="0085781E"/>
    <w:rsid w:val="008627F5"/>
    <w:rsid w:val="008804D7"/>
    <w:rsid w:val="008A1054"/>
    <w:rsid w:val="008A3611"/>
    <w:rsid w:val="008A55A2"/>
    <w:rsid w:val="008B090B"/>
    <w:rsid w:val="008B2B4E"/>
    <w:rsid w:val="008B2DDD"/>
    <w:rsid w:val="008B6DB0"/>
    <w:rsid w:val="008C31CC"/>
    <w:rsid w:val="008D2F5C"/>
    <w:rsid w:val="008D4BCA"/>
    <w:rsid w:val="008E3C2C"/>
    <w:rsid w:val="008E3DDC"/>
    <w:rsid w:val="008E4F77"/>
    <w:rsid w:val="008F10AE"/>
    <w:rsid w:val="008F1BDC"/>
    <w:rsid w:val="008F1EC7"/>
    <w:rsid w:val="008F26D2"/>
    <w:rsid w:val="008F7397"/>
    <w:rsid w:val="009029C9"/>
    <w:rsid w:val="0091009F"/>
    <w:rsid w:val="009128C7"/>
    <w:rsid w:val="00913E9D"/>
    <w:rsid w:val="00920AB1"/>
    <w:rsid w:val="00924731"/>
    <w:rsid w:val="0092610C"/>
    <w:rsid w:val="00927802"/>
    <w:rsid w:val="00945996"/>
    <w:rsid w:val="00956652"/>
    <w:rsid w:val="00957E57"/>
    <w:rsid w:val="00960661"/>
    <w:rsid w:val="009716BB"/>
    <w:rsid w:val="00980066"/>
    <w:rsid w:val="00981766"/>
    <w:rsid w:val="009829DA"/>
    <w:rsid w:val="009857C8"/>
    <w:rsid w:val="00996AE6"/>
    <w:rsid w:val="009A00A6"/>
    <w:rsid w:val="009A266A"/>
    <w:rsid w:val="009A5962"/>
    <w:rsid w:val="009C01C4"/>
    <w:rsid w:val="009C4CAC"/>
    <w:rsid w:val="009C5FA9"/>
    <w:rsid w:val="009D3854"/>
    <w:rsid w:val="009D4BEA"/>
    <w:rsid w:val="009D58C8"/>
    <w:rsid w:val="009E4D9B"/>
    <w:rsid w:val="009F2E30"/>
    <w:rsid w:val="009F5DE6"/>
    <w:rsid w:val="00A0482E"/>
    <w:rsid w:val="00A1089A"/>
    <w:rsid w:val="00A10E88"/>
    <w:rsid w:val="00A117D4"/>
    <w:rsid w:val="00A1381A"/>
    <w:rsid w:val="00A212B4"/>
    <w:rsid w:val="00A23022"/>
    <w:rsid w:val="00A3299E"/>
    <w:rsid w:val="00A36F0E"/>
    <w:rsid w:val="00A4025C"/>
    <w:rsid w:val="00A40780"/>
    <w:rsid w:val="00A51DEE"/>
    <w:rsid w:val="00A53E74"/>
    <w:rsid w:val="00A55009"/>
    <w:rsid w:val="00A5767B"/>
    <w:rsid w:val="00A71EF3"/>
    <w:rsid w:val="00A72836"/>
    <w:rsid w:val="00A76794"/>
    <w:rsid w:val="00A91219"/>
    <w:rsid w:val="00A93054"/>
    <w:rsid w:val="00AA5085"/>
    <w:rsid w:val="00AA5EA4"/>
    <w:rsid w:val="00AB194A"/>
    <w:rsid w:val="00AB6824"/>
    <w:rsid w:val="00AC78B3"/>
    <w:rsid w:val="00AD46AE"/>
    <w:rsid w:val="00AD5061"/>
    <w:rsid w:val="00AD765E"/>
    <w:rsid w:val="00AE1994"/>
    <w:rsid w:val="00AF143F"/>
    <w:rsid w:val="00B031DC"/>
    <w:rsid w:val="00B125D4"/>
    <w:rsid w:val="00B17ED4"/>
    <w:rsid w:val="00B21D29"/>
    <w:rsid w:val="00B32B72"/>
    <w:rsid w:val="00B345EA"/>
    <w:rsid w:val="00B34A24"/>
    <w:rsid w:val="00B352C3"/>
    <w:rsid w:val="00B37CEE"/>
    <w:rsid w:val="00B40942"/>
    <w:rsid w:val="00B43D24"/>
    <w:rsid w:val="00B45F2A"/>
    <w:rsid w:val="00B4680F"/>
    <w:rsid w:val="00B529CC"/>
    <w:rsid w:val="00B62AAB"/>
    <w:rsid w:val="00B732ED"/>
    <w:rsid w:val="00B76687"/>
    <w:rsid w:val="00B80891"/>
    <w:rsid w:val="00B846BF"/>
    <w:rsid w:val="00B84EFE"/>
    <w:rsid w:val="00B863C4"/>
    <w:rsid w:val="00B905DC"/>
    <w:rsid w:val="00B9107F"/>
    <w:rsid w:val="00B9346A"/>
    <w:rsid w:val="00BA61C7"/>
    <w:rsid w:val="00BA7D84"/>
    <w:rsid w:val="00BB2CE2"/>
    <w:rsid w:val="00BB3D2D"/>
    <w:rsid w:val="00BB4D5E"/>
    <w:rsid w:val="00BB5E13"/>
    <w:rsid w:val="00BB77A1"/>
    <w:rsid w:val="00BC1638"/>
    <w:rsid w:val="00BC2D95"/>
    <w:rsid w:val="00BD1A0F"/>
    <w:rsid w:val="00BD2F20"/>
    <w:rsid w:val="00BD50D8"/>
    <w:rsid w:val="00BD62D9"/>
    <w:rsid w:val="00BD787F"/>
    <w:rsid w:val="00BD7BAD"/>
    <w:rsid w:val="00BE48E2"/>
    <w:rsid w:val="00BE63B0"/>
    <w:rsid w:val="00BF3910"/>
    <w:rsid w:val="00BF475B"/>
    <w:rsid w:val="00C01019"/>
    <w:rsid w:val="00C0351A"/>
    <w:rsid w:val="00C075A3"/>
    <w:rsid w:val="00C1027A"/>
    <w:rsid w:val="00C103BE"/>
    <w:rsid w:val="00C14024"/>
    <w:rsid w:val="00C202FF"/>
    <w:rsid w:val="00C207A9"/>
    <w:rsid w:val="00C216E3"/>
    <w:rsid w:val="00C22E23"/>
    <w:rsid w:val="00C24B83"/>
    <w:rsid w:val="00C24D15"/>
    <w:rsid w:val="00C32660"/>
    <w:rsid w:val="00C35C09"/>
    <w:rsid w:val="00C35C43"/>
    <w:rsid w:val="00C36893"/>
    <w:rsid w:val="00C37AD8"/>
    <w:rsid w:val="00C40928"/>
    <w:rsid w:val="00C41008"/>
    <w:rsid w:val="00C47382"/>
    <w:rsid w:val="00C50DF7"/>
    <w:rsid w:val="00C5395E"/>
    <w:rsid w:val="00C5408C"/>
    <w:rsid w:val="00C54610"/>
    <w:rsid w:val="00C55EE5"/>
    <w:rsid w:val="00C65ABF"/>
    <w:rsid w:val="00C73E0A"/>
    <w:rsid w:val="00C96500"/>
    <w:rsid w:val="00CA496C"/>
    <w:rsid w:val="00CA6CAA"/>
    <w:rsid w:val="00CA777D"/>
    <w:rsid w:val="00CA7A92"/>
    <w:rsid w:val="00CB0592"/>
    <w:rsid w:val="00CB0A63"/>
    <w:rsid w:val="00CB1213"/>
    <w:rsid w:val="00CC03D5"/>
    <w:rsid w:val="00CD45E1"/>
    <w:rsid w:val="00CD5CA3"/>
    <w:rsid w:val="00CD616A"/>
    <w:rsid w:val="00CD6516"/>
    <w:rsid w:val="00CE1849"/>
    <w:rsid w:val="00CE5B40"/>
    <w:rsid w:val="00CE7878"/>
    <w:rsid w:val="00CF0A63"/>
    <w:rsid w:val="00CF21EE"/>
    <w:rsid w:val="00CF72D2"/>
    <w:rsid w:val="00D00181"/>
    <w:rsid w:val="00D0502C"/>
    <w:rsid w:val="00D052CB"/>
    <w:rsid w:val="00D06D3C"/>
    <w:rsid w:val="00D13A20"/>
    <w:rsid w:val="00D17CDA"/>
    <w:rsid w:val="00D30829"/>
    <w:rsid w:val="00D36693"/>
    <w:rsid w:val="00D400F9"/>
    <w:rsid w:val="00D408DB"/>
    <w:rsid w:val="00D56019"/>
    <w:rsid w:val="00D563FD"/>
    <w:rsid w:val="00D56C98"/>
    <w:rsid w:val="00D570B3"/>
    <w:rsid w:val="00D60EEE"/>
    <w:rsid w:val="00D67F91"/>
    <w:rsid w:val="00D731CB"/>
    <w:rsid w:val="00D753B8"/>
    <w:rsid w:val="00D80439"/>
    <w:rsid w:val="00D8304E"/>
    <w:rsid w:val="00D915AE"/>
    <w:rsid w:val="00D9483A"/>
    <w:rsid w:val="00D97A91"/>
    <w:rsid w:val="00DA03EA"/>
    <w:rsid w:val="00DA3BC5"/>
    <w:rsid w:val="00DB4C11"/>
    <w:rsid w:val="00DC41B9"/>
    <w:rsid w:val="00DC430F"/>
    <w:rsid w:val="00DE7A47"/>
    <w:rsid w:val="00DF166B"/>
    <w:rsid w:val="00DF3AAF"/>
    <w:rsid w:val="00DF41CE"/>
    <w:rsid w:val="00DF60B4"/>
    <w:rsid w:val="00E01DB2"/>
    <w:rsid w:val="00E02EDB"/>
    <w:rsid w:val="00E03A81"/>
    <w:rsid w:val="00E15EE1"/>
    <w:rsid w:val="00E22A1B"/>
    <w:rsid w:val="00E23049"/>
    <w:rsid w:val="00E270E0"/>
    <w:rsid w:val="00E311E5"/>
    <w:rsid w:val="00E32338"/>
    <w:rsid w:val="00E3510B"/>
    <w:rsid w:val="00E46FD9"/>
    <w:rsid w:val="00E47F6F"/>
    <w:rsid w:val="00E50443"/>
    <w:rsid w:val="00E50860"/>
    <w:rsid w:val="00E520DF"/>
    <w:rsid w:val="00E52EC9"/>
    <w:rsid w:val="00E53E8E"/>
    <w:rsid w:val="00E56703"/>
    <w:rsid w:val="00E6129F"/>
    <w:rsid w:val="00E626B4"/>
    <w:rsid w:val="00E65851"/>
    <w:rsid w:val="00E72FCC"/>
    <w:rsid w:val="00E73D1D"/>
    <w:rsid w:val="00E76B39"/>
    <w:rsid w:val="00E76C33"/>
    <w:rsid w:val="00E76CED"/>
    <w:rsid w:val="00E77ED3"/>
    <w:rsid w:val="00E84100"/>
    <w:rsid w:val="00E85BA8"/>
    <w:rsid w:val="00E86118"/>
    <w:rsid w:val="00E9043F"/>
    <w:rsid w:val="00E93A52"/>
    <w:rsid w:val="00E97ACA"/>
    <w:rsid w:val="00EA0C3D"/>
    <w:rsid w:val="00EA3225"/>
    <w:rsid w:val="00EA78F4"/>
    <w:rsid w:val="00EB63AB"/>
    <w:rsid w:val="00EB74F8"/>
    <w:rsid w:val="00EB7A1E"/>
    <w:rsid w:val="00EC1423"/>
    <w:rsid w:val="00ED03A4"/>
    <w:rsid w:val="00ED240D"/>
    <w:rsid w:val="00EE2CF5"/>
    <w:rsid w:val="00EE3426"/>
    <w:rsid w:val="00EE3EDC"/>
    <w:rsid w:val="00EF220C"/>
    <w:rsid w:val="00EF4552"/>
    <w:rsid w:val="00EF634B"/>
    <w:rsid w:val="00EF73C4"/>
    <w:rsid w:val="00F01FA5"/>
    <w:rsid w:val="00F06912"/>
    <w:rsid w:val="00F06DD4"/>
    <w:rsid w:val="00F06E35"/>
    <w:rsid w:val="00F167FA"/>
    <w:rsid w:val="00F2552C"/>
    <w:rsid w:val="00F371E2"/>
    <w:rsid w:val="00F45629"/>
    <w:rsid w:val="00F45D2D"/>
    <w:rsid w:val="00F50A7D"/>
    <w:rsid w:val="00F549FD"/>
    <w:rsid w:val="00F60E4E"/>
    <w:rsid w:val="00F618A5"/>
    <w:rsid w:val="00F63177"/>
    <w:rsid w:val="00F63671"/>
    <w:rsid w:val="00F65B05"/>
    <w:rsid w:val="00F6721B"/>
    <w:rsid w:val="00F8134E"/>
    <w:rsid w:val="00F86B74"/>
    <w:rsid w:val="00F95879"/>
    <w:rsid w:val="00F97BD1"/>
    <w:rsid w:val="00FA5167"/>
    <w:rsid w:val="00FA5572"/>
    <w:rsid w:val="00FB15C6"/>
    <w:rsid w:val="00FB4C71"/>
    <w:rsid w:val="00FB609F"/>
    <w:rsid w:val="00FC212C"/>
    <w:rsid w:val="00FD3A87"/>
    <w:rsid w:val="00FE1964"/>
    <w:rsid w:val="00FE3473"/>
    <w:rsid w:val="00FE3750"/>
    <w:rsid w:val="00FE481D"/>
    <w:rsid w:val="00FF3161"/>
    <w:rsid w:val="00FF4FDE"/>
    <w:rsid w:val="023F16EC"/>
    <w:rsid w:val="0373DC91"/>
    <w:rsid w:val="048EEBEC"/>
    <w:rsid w:val="057C11F8"/>
    <w:rsid w:val="05D0AB0C"/>
    <w:rsid w:val="06EDD75D"/>
    <w:rsid w:val="080714EA"/>
    <w:rsid w:val="087B30D0"/>
    <w:rsid w:val="09ADF2AC"/>
    <w:rsid w:val="09F543F7"/>
    <w:rsid w:val="0A1D7B8F"/>
    <w:rsid w:val="0A67C5EC"/>
    <w:rsid w:val="0A7EB23D"/>
    <w:rsid w:val="0B2B53D9"/>
    <w:rsid w:val="0B94C313"/>
    <w:rsid w:val="0C0D0286"/>
    <w:rsid w:val="0CC668DF"/>
    <w:rsid w:val="0D39D63B"/>
    <w:rsid w:val="0EB47F9B"/>
    <w:rsid w:val="0FDB2264"/>
    <w:rsid w:val="117C2303"/>
    <w:rsid w:val="119C24B2"/>
    <w:rsid w:val="12DB32BF"/>
    <w:rsid w:val="13DCDB57"/>
    <w:rsid w:val="1472A480"/>
    <w:rsid w:val="14E1FC65"/>
    <w:rsid w:val="15E4DDB6"/>
    <w:rsid w:val="1624FDE3"/>
    <w:rsid w:val="16C9A84C"/>
    <w:rsid w:val="17396FFD"/>
    <w:rsid w:val="19B3347F"/>
    <w:rsid w:val="1B555C7D"/>
    <w:rsid w:val="1B7741B3"/>
    <w:rsid w:val="1B7A6830"/>
    <w:rsid w:val="1BA54DBF"/>
    <w:rsid w:val="1BD975E5"/>
    <w:rsid w:val="1CB45718"/>
    <w:rsid w:val="1D4D70DF"/>
    <w:rsid w:val="1E55D1B8"/>
    <w:rsid w:val="1E61FAA3"/>
    <w:rsid w:val="20BCB8D6"/>
    <w:rsid w:val="20CDF416"/>
    <w:rsid w:val="25BB67CB"/>
    <w:rsid w:val="2623EFD6"/>
    <w:rsid w:val="26A27B2D"/>
    <w:rsid w:val="27F2833A"/>
    <w:rsid w:val="2BD6C411"/>
    <w:rsid w:val="2DC6CDA3"/>
    <w:rsid w:val="2DE76A3A"/>
    <w:rsid w:val="2FCD162D"/>
    <w:rsid w:val="302B4F36"/>
    <w:rsid w:val="30643D84"/>
    <w:rsid w:val="310B25F2"/>
    <w:rsid w:val="3355FDF2"/>
    <w:rsid w:val="342FDB09"/>
    <w:rsid w:val="343AB5A9"/>
    <w:rsid w:val="351FBDCC"/>
    <w:rsid w:val="35923FAC"/>
    <w:rsid w:val="362FF6E2"/>
    <w:rsid w:val="3753963B"/>
    <w:rsid w:val="38001ADC"/>
    <w:rsid w:val="390548A6"/>
    <w:rsid w:val="3C8401CB"/>
    <w:rsid w:val="3D7A8A6C"/>
    <w:rsid w:val="3DFCE59C"/>
    <w:rsid w:val="3EB2A469"/>
    <w:rsid w:val="3F5CA498"/>
    <w:rsid w:val="3FC69178"/>
    <w:rsid w:val="41D843C0"/>
    <w:rsid w:val="420A9094"/>
    <w:rsid w:val="420F9B08"/>
    <w:rsid w:val="4272A452"/>
    <w:rsid w:val="43831F5C"/>
    <w:rsid w:val="4440AF29"/>
    <w:rsid w:val="45787A39"/>
    <w:rsid w:val="4675FCD4"/>
    <w:rsid w:val="48A12C9A"/>
    <w:rsid w:val="49DA6220"/>
    <w:rsid w:val="4A0F8FCA"/>
    <w:rsid w:val="4B520D48"/>
    <w:rsid w:val="4C40C80B"/>
    <w:rsid w:val="4C45882E"/>
    <w:rsid w:val="4CFEF273"/>
    <w:rsid w:val="4DB8A5CB"/>
    <w:rsid w:val="4E6582FE"/>
    <w:rsid w:val="4FBF2DAF"/>
    <w:rsid w:val="51491999"/>
    <w:rsid w:val="53090714"/>
    <w:rsid w:val="57269314"/>
    <w:rsid w:val="59818705"/>
    <w:rsid w:val="5B22E8E7"/>
    <w:rsid w:val="5BD5FF78"/>
    <w:rsid w:val="5CD1CE41"/>
    <w:rsid w:val="5D4C965D"/>
    <w:rsid w:val="5D602512"/>
    <w:rsid w:val="5DD0BD4A"/>
    <w:rsid w:val="5E035E7D"/>
    <w:rsid w:val="5FA7DCE8"/>
    <w:rsid w:val="609C3140"/>
    <w:rsid w:val="61337A62"/>
    <w:rsid w:val="6158C4F1"/>
    <w:rsid w:val="61B43CB0"/>
    <w:rsid w:val="64069D99"/>
    <w:rsid w:val="64AC6E94"/>
    <w:rsid w:val="64ECCFE3"/>
    <w:rsid w:val="65BF90E1"/>
    <w:rsid w:val="65E0403D"/>
    <w:rsid w:val="6A74C70D"/>
    <w:rsid w:val="6B017D9E"/>
    <w:rsid w:val="6B462C4B"/>
    <w:rsid w:val="6BE6B33B"/>
    <w:rsid w:val="6C9F2326"/>
    <w:rsid w:val="6D5B78AB"/>
    <w:rsid w:val="6DE795ED"/>
    <w:rsid w:val="7184758E"/>
    <w:rsid w:val="7277D4E2"/>
    <w:rsid w:val="7307912C"/>
    <w:rsid w:val="732BACCA"/>
    <w:rsid w:val="7570B971"/>
    <w:rsid w:val="7666BBE6"/>
    <w:rsid w:val="7769AAD8"/>
    <w:rsid w:val="77FFF0FA"/>
    <w:rsid w:val="780E00D3"/>
    <w:rsid w:val="7881C429"/>
    <w:rsid w:val="791428AC"/>
    <w:rsid w:val="797BD771"/>
    <w:rsid w:val="79B74A2B"/>
    <w:rsid w:val="79BDC48E"/>
    <w:rsid w:val="79E614C7"/>
    <w:rsid w:val="7C509D5A"/>
    <w:rsid w:val="7CB836ED"/>
    <w:rsid w:val="7E3F1E10"/>
    <w:rsid w:val="7EE272BA"/>
    <w:rsid w:val="7F868701"/>
    <w:rsid w:val="7FB03B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B714"/>
  <w15:chartTrackingRefBased/>
  <w15:docId w15:val="{43E89A41-DDF4-4B08-85D0-BA73E683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51A"/>
  </w:style>
  <w:style w:type="paragraph" w:styleId="Ttulo1">
    <w:name w:val="heading 1"/>
    <w:basedOn w:val="Normal"/>
    <w:next w:val="Normal"/>
    <w:link w:val="Ttulo1Car"/>
    <w:uiPriority w:val="9"/>
    <w:qFormat/>
    <w:rsid w:val="00113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13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13AD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13AD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13AD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13A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3A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3A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3AD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3AD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13AD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13AD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13AD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13AD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13AD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3AD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3AD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3AD7"/>
    <w:rPr>
      <w:rFonts w:eastAsiaTheme="majorEastAsia" w:cstheme="majorBidi"/>
      <w:color w:val="272727" w:themeColor="text1" w:themeTint="D8"/>
    </w:rPr>
  </w:style>
  <w:style w:type="paragraph" w:styleId="Ttulo">
    <w:name w:val="Title"/>
    <w:basedOn w:val="Normal"/>
    <w:next w:val="Normal"/>
    <w:link w:val="TtuloCar"/>
    <w:uiPriority w:val="10"/>
    <w:qFormat/>
    <w:rsid w:val="00113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3A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3AD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3AD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3AD7"/>
    <w:pPr>
      <w:spacing w:before="160"/>
      <w:jc w:val="center"/>
    </w:pPr>
    <w:rPr>
      <w:i/>
      <w:iCs/>
      <w:color w:val="404040" w:themeColor="text1" w:themeTint="BF"/>
    </w:rPr>
  </w:style>
  <w:style w:type="character" w:customStyle="1" w:styleId="CitaCar">
    <w:name w:val="Cita Car"/>
    <w:basedOn w:val="Fuentedeprrafopredeter"/>
    <w:link w:val="Cita"/>
    <w:uiPriority w:val="29"/>
    <w:rsid w:val="00113AD7"/>
    <w:rPr>
      <w:i/>
      <w:iCs/>
      <w:color w:val="404040" w:themeColor="text1" w:themeTint="BF"/>
    </w:rPr>
  </w:style>
  <w:style w:type="paragraph" w:styleId="Prrafodelista">
    <w:name w:val="List Paragraph"/>
    <w:basedOn w:val="Normal"/>
    <w:uiPriority w:val="34"/>
    <w:qFormat/>
    <w:rsid w:val="00113AD7"/>
    <w:pPr>
      <w:ind w:left="720"/>
      <w:contextualSpacing/>
    </w:pPr>
  </w:style>
  <w:style w:type="character" w:styleId="nfasisintenso">
    <w:name w:val="Intense Emphasis"/>
    <w:basedOn w:val="Fuentedeprrafopredeter"/>
    <w:uiPriority w:val="21"/>
    <w:qFormat/>
    <w:rsid w:val="00113AD7"/>
    <w:rPr>
      <w:i/>
      <w:iCs/>
      <w:color w:val="0F4761" w:themeColor="accent1" w:themeShade="BF"/>
    </w:rPr>
  </w:style>
  <w:style w:type="paragraph" w:styleId="Citadestacada">
    <w:name w:val="Intense Quote"/>
    <w:basedOn w:val="Normal"/>
    <w:next w:val="Normal"/>
    <w:link w:val="CitadestacadaCar"/>
    <w:uiPriority w:val="30"/>
    <w:qFormat/>
    <w:rsid w:val="00113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13AD7"/>
    <w:rPr>
      <w:i/>
      <w:iCs/>
      <w:color w:val="0F4761" w:themeColor="accent1" w:themeShade="BF"/>
    </w:rPr>
  </w:style>
  <w:style w:type="character" w:styleId="Referenciaintensa">
    <w:name w:val="Intense Reference"/>
    <w:basedOn w:val="Fuentedeprrafopredeter"/>
    <w:uiPriority w:val="32"/>
    <w:qFormat/>
    <w:rsid w:val="00113AD7"/>
    <w:rPr>
      <w:b/>
      <w:bCs/>
      <w:smallCaps/>
      <w:color w:val="0F4761" w:themeColor="accent1" w:themeShade="BF"/>
      <w:spacing w:val="5"/>
    </w:rPr>
  </w:style>
  <w:style w:type="paragraph" w:styleId="Encabezado">
    <w:name w:val="header"/>
    <w:basedOn w:val="Normal"/>
    <w:link w:val="EncabezadoCar"/>
    <w:uiPriority w:val="99"/>
    <w:unhideWhenUsed/>
    <w:rsid w:val="00113A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3AD7"/>
  </w:style>
  <w:style w:type="paragraph" w:styleId="Piedepgina">
    <w:name w:val="footer"/>
    <w:basedOn w:val="Normal"/>
    <w:link w:val="PiedepginaCar"/>
    <w:uiPriority w:val="99"/>
    <w:unhideWhenUsed/>
    <w:rsid w:val="00113A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3AD7"/>
  </w:style>
  <w:style w:type="character" w:customStyle="1" w:styleId="contentpasted0">
    <w:name w:val="contentpasted0"/>
    <w:basedOn w:val="Fuentedeprrafopredeter"/>
    <w:rsid w:val="00113AD7"/>
  </w:style>
  <w:style w:type="character" w:styleId="Hipervnculo">
    <w:name w:val="Hyperlink"/>
    <w:basedOn w:val="Fuentedeprrafopredeter"/>
    <w:uiPriority w:val="99"/>
    <w:unhideWhenUsed/>
    <w:rsid w:val="00D400F9"/>
    <w:rPr>
      <w:color w:val="0000FF"/>
      <w:u w:val="single"/>
    </w:rPr>
  </w:style>
  <w:style w:type="table" w:styleId="Tablaconcuadrcula">
    <w:name w:val="Table Grid"/>
    <w:basedOn w:val="Tablanormal"/>
    <w:uiPriority w:val="39"/>
    <w:rsid w:val="00D40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0A63"/>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732FFB"/>
    <w:rPr>
      <w:sz w:val="16"/>
      <w:szCs w:val="16"/>
    </w:rPr>
  </w:style>
  <w:style w:type="paragraph" w:styleId="Textocomentario">
    <w:name w:val="annotation text"/>
    <w:basedOn w:val="Normal"/>
    <w:link w:val="TextocomentarioCar"/>
    <w:uiPriority w:val="99"/>
    <w:unhideWhenUsed/>
    <w:rsid w:val="00732FFB"/>
    <w:pPr>
      <w:spacing w:line="240" w:lineRule="auto"/>
    </w:pPr>
    <w:rPr>
      <w:sz w:val="20"/>
      <w:szCs w:val="20"/>
    </w:rPr>
  </w:style>
  <w:style w:type="character" w:customStyle="1" w:styleId="TextocomentarioCar">
    <w:name w:val="Texto comentario Car"/>
    <w:basedOn w:val="Fuentedeprrafopredeter"/>
    <w:link w:val="Textocomentario"/>
    <w:uiPriority w:val="99"/>
    <w:rsid w:val="00732FFB"/>
    <w:rPr>
      <w:sz w:val="20"/>
      <w:szCs w:val="20"/>
    </w:rPr>
  </w:style>
  <w:style w:type="paragraph" w:styleId="Asuntodelcomentario">
    <w:name w:val="annotation subject"/>
    <w:basedOn w:val="Textocomentario"/>
    <w:next w:val="Textocomentario"/>
    <w:link w:val="AsuntodelcomentarioCar"/>
    <w:uiPriority w:val="99"/>
    <w:semiHidden/>
    <w:unhideWhenUsed/>
    <w:rsid w:val="00732FFB"/>
    <w:rPr>
      <w:b/>
      <w:bCs/>
    </w:rPr>
  </w:style>
  <w:style w:type="character" w:customStyle="1" w:styleId="AsuntodelcomentarioCar">
    <w:name w:val="Asunto del comentario Car"/>
    <w:basedOn w:val="TextocomentarioCar"/>
    <w:link w:val="Asuntodelcomentario"/>
    <w:uiPriority w:val="99"/>
    <w:semiHidden/>
    <w:rsid w:val="00732F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aura.martinez@iahorro.com" TargetMode="External"/><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1394</Words>
  <Characters>7668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Nerea Gastesi</cp:lastModifiedBy>
  <cp:revision>5</cp:revision>
  <dcterms:created xsi:type="dcterms:W3CDTF">2026-08-14T08:30:00Z</dcterms:created>
  <dcterms:modified xsi:type="dcterms:W3CDTF">2026-08-14T08:49:00Z</dcterms:modified>
</cp:coreProperties>
</file>