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F65D3" w14:textId="4A43F6CD" w:rsidR="00113AD7" w:rsidRPr="00995345" w:rsidRDefault="002A1630" w:rsidP="00113AD7">
      <w:pPr>
        <w:jc w:val="center"/>
        <w:rPr>
          <w:rFonts w:ascii="Muli" w:hAnsi="Muli"/>
          <w:b/>
          <w:sz w:val="20"/>
          <w:szCs w:val="20"/>
        </w:rPr>
      </w:pPr>
      <w:bookmarkStart w:id="0" w:name="_Hlk215137328"/>
      <w:r>
        <w:rPr>
          <w:rFonts w:ascii="Muli" w:hAnsi="Muli"/>
          <w:b/>
          <w:sz w:val="20"/>
          <w:szCs w:val="20"/>
        </w:rPr>
        <w:t xml:space="preserve">El ligero repunte anticipa un </w:t>
      </w:r>
      <w:r w:rsidR="00F74EBC">
        <w:rPr>
          <w:rFonts w:ascii="Muli" w:hAnsi="Muli"/>
          <w:b/>
          <w:sz w:val="20"/>
          <w:szCs w:val="20"/>
        </w:rPr>
        <w:t>posible cambio de escenario en otoño por el precio del petróleo</w:t>
      </w:r>
    </w:p>
    <w:bookmarkEnd w:id="0"/>
    <w:p w14:paraId="3210EC4F" w14:textId="4AF507F0" w:rsidR="239D0426" w:rsidRDefault="455809C8" w:rsidP="239D0426">
      <w:pPr>
        <w:jc w:val="center"/>
        <w:rPr>
          <w:rFonts w:ascii="Montserrat" w:hAnsi="Montserrat"/>
          <w:b/>
          <w:bCs/>
          <w:color w:val="002060"/>
          <w:sz w:val="32"/>
          <w:szCs w:val="32"/>
        </w:rPr>
      </w:pPr>
      <w:r w:rsidRPr="00840C0A">
        <w:rPr>
          <w:rFonts w:ascii="Montserrat" w:hAnsi="Montserrat"/>
          <w:b/>
          <w:bCs/>
          <w:color w:val="002060"/>
          <w:sz w:val="32"/>
          <w:szCs w:val="32"/>
        </w:rPr>
        <w:t xml:space="preserve">El euríbor </w:t>
      </w:r>
      <w:r w:rsidR="00AA133B">
        <w:rPr>
          <w:rFonts w:ascii="Montserrat" w:hAnsi="Montserrat"/>
          <w:b/>
          <w:bCs/>
          <w:color w:val="002060"/>
          <w:sz w:val="32"/>
          <w:szCs w:val="32"/>
        </w:rPr>
        <w:t xml:space="preserve">se acerca de nuevo al 3% </w:t>
      </w:r>
      <w:r w:rsidR="002A1630">
        <w:rPr>
          <w:rFonts w:ascii="Montserrat" w:hAnsi="Montserrat"/>
          <w:b/>
          <w:bCs/>
          <w:color w:val="002060"/>
          <w:sz w:val="32"/>
          <w:szCs w:val="32"/>
        </w:rPr>
        <w:t xml:space="preserve">sin alterar el equilibrio del mercado hipotecario </w:t>
      </w:r>
    </w:p>
    <w:p w14:paraId="19BCB666" w14:textId="77777777" w:rsidR="009D6CDC" w:rsidRPr="00840C0A" w:rsidRDefault="009D6CDC" w:rsidP="239D0426">
      <w:pPr>
        <w:jc w:val="center"/>
        <w:rPr>
          <w:color w:val="002060"/>
        </w:rPr>
      </w:pPr>
    </w:p>
    <w:p w14:paraId="579AE348" w14:textId="45AADB6A" w:rsidR="009D6CDC" w:rsidRPr="009D6CDC" w:rsidRDefault="69977C5F" w:rsidP="009D6CDC">
      <w:pPr>
        <w:pStyle w:val="Prrafodelista"/>
        <w:numPr>
          <w:ilvl w:val="0"/>
          <w:numId w:val="1"/>
        </w:numPr>
        <w:spacing w:line="256" w:lineRule="auto"/>
        <w:ind w:left="567" w:hanging="207"/>
        <w:rPr>
          <w:rFonts w:ascii="Muli" w:hAnsi="Muli"/>
        </w:rPr>
      </w:pPr>
      <w:r w:rsidRPr="61FC88CE">
        <w:rPr>
          <w:rFonts w:ascii="Muli" w:hAnsi="Muli"/>
        </w:rPr>
        <w:t xml:space="preserve">El </w:t>
      </w:r>
      <w:r w:rsidR="009D6CDC">
        <w:rPr>
          <w:rFonts w:ascii="Muli" w:hAnsi="Muli"/>
        </w:rPr>
        <w:t xml:space="preserve">índice de referencia de las hipotecas variables </w:t>
      </w:r>
      <w:r w:rsidR="000B0210">
        <w:rPr>
          <w:rFonts w:ascii="Muli" w:hAnsi="Muli"/>
        </w:rPr>
        <w:t xml:space="preserve">aumenta ligeramente respecto al mes de junio (2,798%) hasta alcanzar una media </w:t>
      </w:r>
      <w:r w:rsidR="000B0210" w:rsidRPr="0014566E">
        <w:rPr>
          <w:rFonts w:ascii="Muli" w:hAnsi="Muli"/>
        </w:rPr>
        <w:t>de 2,8</w:t>
      </w:r>
      <w:r w:rsidR="00AB7497" w:rsidRPr="0014566E">
        <w:rPr>
          <w:rFonts w:ascii="Muli" w:hAnsi="Muli"/>
        </w:rPr>
        <w:t>5</w:t>
      </w:r>
      <w:r w:rsidR="009751DB">
        <w:rPr>
          <w:rFonts w:ascii="Muli" w:hAnsi="Muli"/>
        </w:rPr>
        <w:t>5</w:t>
      </w:r>
      <w:r w:rsidR="000B0210" w:rsidRPr="0014566E">
        <w:rPr>
          <w:rFonts w:ascii="Muli" w:hAnsi="Muli"/>
        </w:rPr>
        <w:t>%</w:t>
      </w:r>
      <w:r w:rsidR="000B0210">
        <w:rPr>
          <w:rFonts w:ascii="Muli" w:hAnsi="Muli"/>
        </w:rPr>
        <w:t xml:space="preserve"> </w:t>
      </w:r>
      <w:r w:rsidR="00F74EBC">
        <w:rPr>
          <w:rFonts w:ascii="Muli" w:hAnsi="Muli"/>
        </w:rPr>
        <w:t>con marcas puntuales</w:t>
      </w:r>
      <w:r w:rsidR="000B0210">
        <w:rPr>
          <w:rFonts w:ascii="Muli" w:hAnsi="Muli"/>
        </w:rPr>
        <w:t xml:space="preserve"> del 2,9</w:t>
      </w:r>
      <w:r w:rsidR="001F5CDC">
        <w:rPr>
          <w:rFonts w:ascii="Muli" w:hAnsi="Muli"/>
        </w:rPr>
        <w:t>4</w:t>
      </w:r>
      <w:r w:rsidR="000B0210">
        <w:rPr>
          <w:rFonts w:ascii="Muli" w:hAnsi="Muli"/>
        </w:rPr>
        <w:t xml:space="preserve">%, su nivel más alto desde septiembre de 2024. </w:t>
      </w:r>
    </w:p>
    <w:p w14:paraId="5427A201" w14:textId="636234BB" w:rsidR="002770B7" w:rsidRDefault="009D6CDC" w:rsidP="00113AD7">
      <w:pPr>
        <w:pStyle w:val="Prrafodelista"/>
        <w:numPr>
          <w:ilvl w:val="0"/>
          <w:numId w:val="1"/>
        </w:numPr>
        <w:spacing w:line="256" w:lineRule="auto"/>
        <w:ind w:left="567" w:hanging="207"/>
        <w:rPr>
          <w:rFonts w:ascii="Muli" w:hAnsi="Muli"/>
        </w:rPr>
      </w:pPr>
      <w:r w:rsidRPr="0014566E">
        <w:rPr>
          <w:rFonts w:ascii="Muli" w:hAnsi="Muli"/>
        </w:rPr>
        <w:t xml:space="preserve">El indicador registra un incremento de </w:t>
      </w:r>
      <w:r w:rsidR="007A4463">
        <w:rPr>
          <w:rFonts w:ascii="Muli" w:hAnsi="Muli"/>
        </w:rPr>
        <w:t>0,776</w:t>
      </w:r>
      <w:r w:rsidRPr="0014566E">
        <w:rPr>
          <w:rFonts w:ascii="Muli" w:hAnsi="Muli"/>
        </w:rPr>
        <w:t xml:space="preserve"> puntos porcentuales respecto a ju</w:t>
      </w:r>
      <w:r w:rsidR="000B0210" w:rsidRPr="0014566E">
        <w:rPr>
          <w:rFonts w:ascii="Muli" w:hAnsi="Muli"/>
        </w:rPr>
        <w:t>l</w:t>
      </w:r>
      <w:r w:rsidRPr="0014566E">
        <w:rPr>
          <w:rFonts w:ascii="Muli" w:hAnsi="Muli"/>
        </w:rPr>
        <w:t>io de 2025, cuando se encontraba en el 2,0</w:t>
      </w:r>
      <w:r w:rsidR="000B0210" w:rsidRPr="0014566E">
        <w:rPr>
          <w:rFonts w:ascii="Muli" w:hAnsi="Muli"/>
        </w:rPr>
        <w:t>79</w:t>
      </w:r>
      <w:r>
        <w:rPr>
          <w:rFonts w:ascii="Muli" w:hAnsi="Muli"/>
        </w:rPr>
        <w:t>%.</w:t>
      </w:r>
      <w:r w:rsidR="000B0210">
        <w:rPr>
          <w:rFonts w:ascii="Muli" w:hAnsi="Muli"/>
        </w:rPr>
        <w:t xml:space="preserve"> </w:t>
      </w:r>
    </w:p>
    <w:p w14:paraId="0FF5D81E" w14:textId="2F18718C" w:rsidR="009D6CDC" w:rsidRPr="001F5CDC" w:rsidRDefault="009D6CDC" w:rsidP="009D6CDC">
      <w:pPr>
        <w:pStyle w:val="Prrafodelista"/>
        <w:numPr>
          <w:ilvl w:val="0"/>
          <w:numId w:val="1"/>
        </w:numPr>
        <w:spacing w:line="256" w:lineRule="auto"/>
        <w:ind w:left="567" w:hanging="207"/>
        <w:rPr>
          <w:rFonts w:ascii="Muli" w:hAnsi="Muli"/>
        </w:rPr>
      </w:pPr>
      <w:r w:rsidRPr="001F5CDC">
        <w:rPr>
          <w:rFonts w:ascii="Muli" w:hAnsi="Muli"/>
        </w:rPr>
        <w:t>“</w:t>
      </w:r>
      <w:r w:rsidR="001F5CDC" w:rsidRPr="001F5CDC">
        <w:rPr>
          <w:rFonts w:ascii="Muli" w:hAnsi="Muli"/>
        </w:rPr>
        <w:t>El mercado puede estar anticipando un endurecimiento monetario tras el verano</w:t>
      </w:r>
      <w:r w:rsidR="00F74EBC">
        <w:rPr>
          <w:rFonts w:ascii="Muli" w:hAnsi="Muli"/>
        </w:rPr>
        <w:t xml:space="preserve"> por el posible shock energético</w:t>
      </w:r>
      <w:r w:rsidRPr="001F5CDC">
        <w:rPr>
          <w:rFonts w:ascii="Muli" w:hAnsi="Muli"/>
        </w:rPr>
        <w:t>”, destaca la portavoz de iAhorro</w:t>
      </w:r>
      <w:r w:rsidR="001F5CDC">
        <w:rPr>
          <w:rFonts w:ascii="Muli" w:hAnsi="Muli"/>
        </w:rPr>
        <w:t xml:space="preserve">. </w:t>
      </w:r>
    </w:p>
    <w:p w14:paraId="646DA46F" w14:textId="77777777" w:rsidR="00113AD7" w:rsidRDefault="00113AD7" w:rsidP="00113AD7">
      <w:pPr>
        <w:pStyle w:val="Prrafodelista"/>
        <w:spacing w:line="256" w:lineRule="auto"/>
        <w:ind w:left="567"/>
        <w:rPr>
          <w:rFonts w:ascii="Muli" w:hAnsi="Muli"/>
        </w:rPr>
      </w:pPr>
    </w:p>
    <w:p w14:paraId="5D4A27EA" w14:textId="26803556" w:rsidR="00113AD7" w:rsidRPr="002301DA" w:rsidRDefault="00113AD7" w:rsidP="00113AD7">
      <w:pPr>
        <w:spacing w:line="256" w:lineRule="auto"/>
        <w:rPr>
          <w:rFonts w:ascii="Muli" w:hAnsi="Muli"/>
        </w:rPr>
      </w:pPr>
      <w:r w:rsidRPr="002301DA">
        <w:rPr>
          <w:rFonts w:ascii="Muli" w:hAnsi="Muli"/>
        </w:rPr>
        <w:t>Madrid,</w:t>
      </w:r>
      <w:r>
        <w:rPr>
          <w:rFonts w:ascii="Muli" w:hAnsi="Muli"/>
        </w:rPr>
        <w:t xml:space="preserve"> </w:t>
      </w:r>
      <w:r w:rsidR="0009231A">
        <w:rPr>
          <w:rFonts w:ascii="Muli" w:hAnsi="Muli"/>
        </w:rPr>
        <w:t>31</w:t>
      </w:r>
      <w:r w:rsidR="00D4551C">
        <w:rPr>
          <w:rFonts w:ascii="Muli" w:hAnsi="Muli"/>
        </w:rPr>
        <w:t xml:space="preserve"> de </w:t>
      </w:r>
      <w:r w:rsidR="009D6CDC">
        <w:rPr>
          <w:rFonts w:ascii="Muli" w:hAnsi="Muli"/>
        </w:rPr>
        <w:t>ju</w:t>
      </w:r>
      <w:r w:rsidR="00223DC4">
        <w:rPr>
          <w:rFonts w:ascii="Muli" w:hAnsi="Muli"/>
        </w:rPr>
        <w:t>l</w:t>
      </w:r>
      <w:r w:rsidR="009D6CDC">
        <w:rPr>
          <w:rFonts w:ascii="Muli" w:hAnsi="Muli"/>
        </w:rPr>
        <w:t xml:space="preserve">io </w:t>
      </w:r>
      <w:r>
        <w:rPr>
          <w:rFonts w:ascii="Muli" w:hAnsi="Muli"/>
        </w:rPr>
        <w:t>de 2026</w:t>
      </w:r>
    </w:p>
    <w:p w14:paraId="4B439BC1" w14:textId="752D5CA8" w:rsidR="008B5458" w:rsidRPr="009D6CDC" w:rsidRDefault="4674D064" w:rsidP="00CF0A63">
      <w:pPr>
        <w:rPr>
          <w:rFonts w:ascii="Muli" w:hAnsi="Muli"/>
          <w:color w:val="000000" w:themeColor="text1"/>
        </w:rPr>
      </w:pPr>
      <w:r w:rsidRPr="0917CDB9">
        <w:rPr>
          <w:rFonts w:ascii="Muli" w:hAnsi="Muli"/>
          <w:color w:val="000000" w:themeColor="text1"/>
        </w:rPr>
        <w:t>El</w:t>
      </w:r>
      <w:r w:rsidR="05781A20" w:rsidRPr="0917CDB9">
        <w:rPr>
          <w:rFonts w:ascii="Muli" w:hAnsi="Muli"/>
          <w:color w:val="000000" w:themeColor="text1"/>
        </w:rPr>
        <w:t xml:space="preserve"> euríbor, el índice de referencia con el que se calcula </w:t>
      </w:r>
      <w:r w:rsidR="05EB2B47" w:rsidRPr="0917CDB9">
        <w:rPr>
          <w:rFonts w:ascii="Muli" w:hAnsi="Muli"/>
          <w:color w:val="000000" w:themeColor="text1"/>
        </w:rPr>
        <w:t xml:space="preserve">el tipo de interés (TIN) </w:t>
      </w:r>
      <w:r w:rsidR="05EB2B47" w:rsidRPr="000F3508">
        <w:rPr>
          <w:rFonts w:ascii="Muli" w:hAnsi="Muli"/>
        </w:rPr>
        <w:t>de las hipotecas</w:t>
      </w:r>
      <w:r w:rsidR="2C84C353" w:rsidRPr="000F3508">
        <w:rPr>
          <w:rFonts w:ascii="Muli" w:hAnsi="Muli"/>
        </w:rPr>
        <w:t xml:space="preserve"> variables</w:t>
      </w:r>
      <w:r w:rsidR="05EB2B47" w:rsidRPr="000F3508">
        <w:rPr>
          <w:rFonts w:ascii="Muli" w:hAnsi="Muli"/>
        </w:rPr>
        <w:t xml:space="preserve">, se sitúa en el mes de </w:t>
      </w:r>
      <w:r w:rsidR="009D6CDC" w:rsidRPr="000F3508">
        <w:rPr>
          <w:rFonts w:ascii="Muli" w:hAnsi="Muli"/>
        </w:rPr>
        <w:t>ju</w:t>
      </w:r>
      <w:r w:rsidR="001F5CDC" w:rsidRPr="000F3508">
        <w:rPr>
          <w:rFonts w:ascii="Muli" w:hAnsi="Muli"/>
        </w:rPr>
        <w:t>l</w:t>
      </w:r>
      <w:r w:rsidR="009D6CDC" w:rsidRPr="000F3508">
        <w:rPr>
          <w:rFonts w:ascii="Muli" w:hAnsi="Muli"/>
        </w:rPr>
        <w:t>io</w:t>
      </w:r>
      <w:r w:rsidR="164EA0F5" w:rsidRPr="000F3508">
        <w:rPr>
          <w:rFonts w:ascii="Muli" w:hAnsi="Muli"/>
        </w:rPr>
        <w:t>, a falta de conocer el último dato,</w:t>
      </w:r>
      <w:r w:rsidR="05EB2B47" w:rsidRPr="000F3508">
        <w:rPr>
          <w:rFonts w:ascii="Muli" w:hAnsi="Muli"/>
        </w:rPr>
        <w:t xml:space="preserve"> en un 2,</w:t>
      </w:r>
      <w:r w:rsidR="1ADDBCA0" w:rsidRPr="000F3508">
        <w:rPr>
          <w:rFonts w:ascii="Muli" w:hAnsi="Muli"/>
        </w:rPr>
        <w:t>8</w:t>
      </w:r>
      <w:r w:rsidR="0014566E" w:rsidRPr="000F3508">
        <w:rPr>
          <w:rFonts w:ascii="Muli" w:hAnsi="Muli"/>
        </w:rPr>
        <w:t>5</w:t>
      </w:r>
      <w:r w:rsidR="009751DB">
        <w:rPr>
          <w:rFonts w:ascii="Muli" w:hAnsi="Muli"/>
        </w:rPr>
        <w:t>5</w:t>
      </w:r>
      <w:r w:rsidR="05EB2B47" w:rsidRPr="000F3508">
        <w:rPr>
          <w:rFonts w:ascii="Muli" w:hAnsi="Muli"/>
        </w:rPr>
        <w:t xml:space="preserve">%. </w:t>
      </w:r>
      <w:r w:rsidR="164EA0F5" w:rsidRPr="000F3508">
        <w:rPr>
          <w:rFonts w:ascii="Muli" w:hAnsi="Muli"/>
        </w:rPr>
        <w:t>Esta cifra confirma</w:t>
      </w:r>
      <w:r w:rsidR="001F5CDC" w:rsidRPr="000F3508">
        <w:rPr>
          <w:rFonts w:ascii="Muli" w:hAnsi="Muli"/>
        </w:rPr>
        <w:t>ría una ligera subida respecto</w:t>
      </w:r>
      <w:r w:rsidR="009D6CDC" w:rsidRPr="000F3508">
        <w:rPr>
          <w:rFonts w:ascii="Muli" w:hAnsi="Muli"/>
        </w:rPr>
        <w:t xml:space="preserve"> al mes de </w:t>
      </w:r>
      <w:r w:rsidR="001F5CDC" w:rsidRPr="000F3508">
        <w:rPr>
          <w:rFonts w:ascii="Muli" w:hAnsi="Muli"/>
        </w:rPr>
        <w:t>junio</w:t>
      </w:r>
      <w:r w:rsidR="009D6CDC" w:rsidRPr="000F3508">
        <w:rPr>
          <w:rFonts w:ascii="Muli" w:hAnsi="Muli"/>
        </w:rPr>
        <w:t xml:space="preserve">, con </w:t>
      </w:r>
      <w:r w:rsidR="001F5CDC" w:rsidRPr="000F3508">
        <w:rPr>
          <w:rFonts w:ascii="Muli" w:hAnsi="Muli"/>
        </w:rPr>
        <w:t>alzas que lo sitúan en hasta el 2,947%</w:t>
      </w:r>
      <w:r w:rsidR="00F74EBC" w:rsidRPr="000F3508">
        <w:rPr>
          <w:rFonts w:ascii="Muli" w:hAnsi="Muli"/>
        </w:rPr>
        <w:t xml:space="preserve"> durante el mes</w:t>
      </w:r>
      <w:r w:rsidR="009D6CDC" w:rsidRPr="000F3508">
        <w:rPr>
          <w:rFonts w:ascii="Muli" w:hAnsi="Muli"/>
        </w:rPr>
        <w:t xml:space="preserve">. Tras </w:t>
      </w:r>
      <w:r w:rsidR="0047531A" w:rsidRPr="000F3508">
        <w:rPr>
          <w:rFonts w:ascii="Muli" w:hAnsi="Muli"/>
        </w:rPr>
        <w:t>la relajación del mes de junio</w:t>
      </w:r>
      <w:r w:rsidR="009D6CDC" w:rsidRPr="000F3508">
        <w:rPr>
          <w:rFonts w:ascii="Muli" w:hAnsi="Muli"/>
        </w:rPr>
        <w:t xml:space="preserve">, las previsiones </w:t>
      </w:r>
      <w:r w:rsidR="0047531A" w:rsidRPr="000F3508">
        <w:rPr>
          <w:rFonts w:ascii="Muli" w:hAnsi="Muli"/>
        </w:rPr>
        <w:t xml:space="preserve">se acercan a </w:t>
      </w:r>
      <w:r w:rsidR="009D6CDC" w:rsidRPr="000F3508">
        <w:rPr>
          <w:rFonts w:ascii="Muli" w:hAnsi="Muli"/>
        </w:rPr>
        <w:t xml:space="preserve">la cifra </w:t>
      </w:r>
      <w:r w:rsidR="0047531A" w:rsidRPr="000F3508">
        <w:rPr>
          <w:rFonts w:ascii="Muli" w:hAnsi="Muli"/>
        </w:rPr>
        <w:t>d</w:t>
      </w:r>
      <w:r w:rsidR="009D6CDC" w:rsidRPr="000F3508">
        <w:rPr>
          <w:rFonts w:ascii="Muli" w:hAnsi="Muli"/>
        </w:rPr>
        <w:t xml:space="preserve">el 3%. </w:t>
      </w:r>
      <w:r w:rsidR="00F74EBC" w:rsidRPr="000F3508">
        <w:rPr>
          <w:rFonts w:ascii="Muli" w:hAnsi="Muli"/>
        </w:rPr>
        <w:t>Es decir, l</w:t>
      </w:r>
      <w:r w:rsidR="002A1630" w:rsidRPr="000F3508">
        <w:rPr>
          <w:rFonts w:ascii="Muli" w:hAnsi="Muli"/>
        </w:rPr>
        <w:t xml:space="preserve">a media en su conjunto transmite estabilidad, pero la evolución diaria </w:t>
      </w:r>
      <w:r w:rsidR="002A1630">
        <w:rPr>
          <w:rFonts w:ascii="Muli" w:hAnsi="Muli"/>
          <w:color w:val="000000" w:themeColor="text1"/>
        </w:rPr>
        <w:t xml:space="preserve">refleja una tendencia alcista. </w:t>
      </w:r>
      <w:r w:rsidR="5E21CB12" w:rsidRPr="61FC88CE">
        <w:rPr>
          <w:rFonts w:ascii="Muli" w:hAnsi="Muli"/>
          <w:color w:val="000000" w:themeColor="text1"/>
        </w:rPr>
        <w:t>Laura Martínez, portavoz de iAhorro, señala que “</w:t>
      </w:r>
      <w:r w:rsidR="009D6CDC">
        <w:rPr>
          <w:rFonts w:ascii="Muli" w:hAnsi="Muli"/>
          <w:color w:val="000000" w:themeColor="text1"/>
        </w:rPr>
        <w:t xml:space="preserve">el euríbor </w:t>
      </w:r>
      <w:r w:rsidR="001F5CDC">
        <w:rPr>
          <w:rFonts w:ascii="Muli" w:hAnsi="Muli"/>
          <w:color w:val="000000" w:themeColor="text1"/>
        </w:rPr>
        <w:t>comienza a anticipar un otoño en el que el Banco Central Europeo (BCE) podría endurecer el precio del dinero</w:t>
      </w:r>
      <w:r w:rsidR="5E21CB12" w:rsidRPr="61FC88CE">
        <w:rPr>
          <w:rFonts w:ascii="Muli" w:hAnsi="Muli"/>
          <w:color w:val="000000" w:themeColor="text1"/>
        </w:rPr>
        <w:t>”.</w:t>
      </w:r>
      <w:r w:rsidR="009D6CDC">
        <w:rPr>
          <w:rFonts w:ascii="Muli" w:hAnsi="Muli"/>
          <w:color w:val="000000" w:themeColor="text1"/>
        </w:rPr>
        <w:t xml:space="preserve"> </w:t>
      </w:r>
    </w:p>
    <w:p w14:paraId="30F832FF" w14:textId="77777777" w:rsidR="00F74EBC" w:rsidRDefault="00440582" w:rsidP="00CF0A63">
      <w:pPr>
        <w:rPr>
          <w:rFonts w:ascii="Muli" w:hAnsi="Muli"/>
          <w:color w:val="000000" w:themeColor="text1"/>
        </w:rPr>
      </w:pPr>
      <w:r>
        <w:rPr>
          <w:rFonts w:ascii="Muli" w:hAnsi="Muli"/>
          <w:noProof/>
          <w:color w:val="000000" w:themeColor="text1"/>
        </w:rPr>
        <w:drawing>
          <wp:inline distT="0" distB="0" distL="0" distR="0" wp14:anchorId="0EC3F2F8" wp14:editId="44B3F4EE">
            <wp:extent cx="5078730" cy="2914650"/>
            <wp:effectExtent l="0" t="0" r="7620" b="0"/>
            <wp:docPr id="11230130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013003" name="Imagen 1"/>
                    <pic:cNvPicPr/>
                  </pic:nvPicPr>
                  <pic:blipFill rotWithShape="1">
                    <a:blip r:embed="rId7" cstate="print">
                      <a:extLst>
                        <a:ext uri="{28A0092B-C50C-407E-A947-70E740481C1C}">
                          <a14:useLocalDpi xmlns:a14="http://schemas.microsoft.com/office/drawing/2010/main" val="0"/>
                        </a:ext>
                      </a:extLst>
                    </a:blip>
                    <a:srcRect l="3054" t="545" b="545"/>
                    <a:stretch>
                      <a:fillRect/>
                    </a:stretch>
                  </pic:blipFill>
                  <pic:spPr bwMode="auto">
                    <a:xfrm>
                      <a:off x="0" y="0"/>
                      <a:ext cx="5078730" cy="2914650"/>
                    </a:xfrm>
                    <a:prstGeom prst="rect">
                      <a:avLst/>
                    </a:prstGeom>
                    <a:ln>
                      <a:noFill/>
                    </a:ln>
                    <a:extLst>
                      <a:ext uri="{53640926-AAD7-44D8-BBD7-CCE9431645EC}">
                        <a14:shadowObscured xmlns:a14="http://schemas.microsoft.com/office/drawing/2010/main"/>
                      </a:ext>
                    </a:extLst>
                  </pic:spPr>
                </pic:pic>
              </a:graphicData>
            </a:graphic>
          </wp:inline>
        </w:drawing>
      </w:r>
    </w:p>
    <w:p w14:paraId="25E918C6" w14:textId="66CBBA8C" w:rsidR="00155BB4" w:rsidRPr="00C602E8" w:rsidRDefault="002A1630" w:rsidP="00CF0A63">
      <w:pPr>
        <w:rPr>
          <w:rFonts w:ascii="Muli" w:hAnsi="Muli"/>
          <w:color w:val="000000" w:themeColor="text1"/>
        </w:rPr>
      </w:pPr>
      <w:r>
        <w:rPr>
          <w:rFonts w:ascii="Muli" w:hAnsi="Muli"/>
          <w:color w:val="000000" w:themeColor="text1"/>
        </w:rPr>
        <w:lastRenderedPageBreak/>
        <w:t>La subida de 0,7</w:t>
      </w:r>
      <w:r w:rsidR="00F30867">
        <w:rPr>
          <w:rFonts w:ascii="Muli" w:hAnsi="Muli"/>
          <w:color w:val="000000" w:themeColor="text1"/>
        </w:rPr>
        <w:t>76</w:t>
      </w:r>
      <w:r>
        <w:rPr>
          <w:rFonts w:ascii="Muli" w:hAnsi="Muli"/>
          <w:color w:val="000000" w:themeColor="text1"/>
        </w:rPr>
        <w:t xml:space="preserve"> puntos respecto al mismo mes de 2025 tendrá un impacto directo en la cuota mensual de las hipotecas. Respecto al dato de hace seis meses, en enero de 2026, el euríbor ha subido </w:t>
      </w:r>
      <w:r w:rsidR="003D29D1">
        <w:rPr>
          <w:rFonts w:ascii="Muli" w:hAnsi="Muli"/>
          <w:color w:val="000000" w:themeColor="text1"/>
        </w:rPr>
        <w:t>0,61</w:t>
      </w:r>
      <w:r>
        <w:rPr>
          <w:rFonts w:ascii="Muli" w:hAnsi="Muli"/>
          <w:color w:val="000000" w:themeColor="text1"/>
        </w:rPr>
        <w:t xml:space="preserve"> puntos. Aunque la horquilla se sigue manteniendo en el entorno del 2,80%, </w:t>
      </w:r>
      <w:r w:rsidR="004915CE">
        <w:rPr>
          <w:rFonts w:ascii="Muli" w:hAnsi="Muli"/>
          <w:color w:val="000000" w:themeColor="text1"/>
        </w:rPr>
        <w:t xml:space="preserve">la media comienza a acercarse al 3%. </w:t>
      </w:r>
    </w:p>
    <w:p w14:paraId="637AD76A" w14:textId="1CB7AA9A" w:rsidR="008A2061" w:rsidRDefault="008A2061" w:rsidP="008A2061">
      <w:pPr>
        <w:rPr>
          <w:rFonts w:ascii="Montserrat" w:hAnsi="Montserrat"/>
          <w:b/>
          <w:bCs/>
          <w:color w:val="243962"/>
          <w:bdr w:val="none" w:sz="0" w:space="0" w:color="auto" w:frame="1"/>
          <w:shd w:val="clear" w:color="auto" w:fill="FFFFFF"/>
        </w:rPr>
      </w:pPr>
      <w:r>
        <w:rPr>
          <w:rFonts w:ascii="Montserrat" w:hAnsi="Montserrat"/>
          <w:b/>
          <w:bCs/>
          <w:color w:val="243962"/>
          <w:bdr w:val="none" w:sz="0" w:space="0" w:color="auto" w:frame="1"/>
          <w:shd w:val="clear" w:color="auto" w:fill="FFFFFF"/>
        </w:rPr>
        <w:t xml:space="preserve">Las hipotecas </w:t>
      </w:r>
      <w:r w:rsidR="3D265239" w:rsidRPr="0136D339">
        <w:rPr>
          <w:rFonts w:ascii="Montserrat" w:hAnsi="Montserrat"/>
          <w:b/>
          <w:bCs/>
          <w:color w:val="243962"/>
        </w:rPr>
        <w:t xml:space="preserve">suben en </w:t>
      </w:r>
      <w:r w:rsidR="009D6CDC">
        <w:rPr>
          <w:rFonts w:ascii="Montserrat" w:hAnsi="Montserrat"/>
          <w:b/>
          <w:bCs/>
          <w:color w:val="243962"/>
        </w:rPr>
        <w:t>ju</w:t>
      </w:r>
      <w:r w:rsidR="00C726BF">
        <w:rPr>
          <w:rFonts w:ascii="Montserrat" w:hAnsi="Montserrat"/>
          <w:b/>
          <w:bCs/>
          <w:color w:val="243962"/>
        </w:rPr>
        <w:t>l</w:t>
      </w:r>
      <w:r w:rsidR="009D6CDC">
        <w:rPr>
          <w:rFonts w:ascii="Montserrat" w:hAnsi="Montserrat"/>
          <w:b/>
          <w:bCs/>
          <w:color w:val="243962"/>
        </w:rPr>
        <w:t>io</w:t>
      </w:r>
      <w:r w:rsidR="3D265239" w:rsidRPr="0136D339">
        <w:rPr>
          <w:rFonts w:ascii="Montserrat" w:hAnsi="Montserrat"/>
          <w:b/>
          <w:bCs/>
          <w:color w:val="243962"/>
        </w:rPr>
        <w:t xml:space="preserve"> hasta </w:t>
      </w:r>
      <w:r w:rsidR="3D265239" w:rsidRPr="000F3508">
        <w:rPr>
          <w:rFonts w:ascii="Montserrat" w:hAnsi="Montserrat"/>
          <w:b/>
          <w:bCs/>
          <w:color w:val="002060"/>
        </w:rPr>
        <w:t>1</w:t>
      </w:r>
      <w:r w:rsidR="00C726BF" w:rsidRPr="000F3508">
        <w:rPr>
          <w:rFonts w:ascii="Montserrat" w:hAnsi="Montserrat"/>
          <w:b/>
          <w:bCs/>
          <w:color w:val="002060"/>
        </w:rPr>
        <w:t>4</w:t>
      </w:r>
      <w:r w:rsidR="000F3508" w:rsidRPr="000F3508">
        <w:rPr>
          <w:rFonts w:ascii="Montserrat" w:hAnsi="Montserrat"/>
          <w:b/>
          <w:bCs/>
          <w:color w:val="002060"/>
        </w:rPr>
        <w:t>2</w:t>
      </w:r>
      <w:r w:rsidR="3D265239" w:rsidRPr="000F3508">
        <w:rPr>
          <w:rFonts w:ascii="Montserrat" w:hAnsi="Montserrat"/>
          <w:b/>
          <w:bCs/>
          <w:color w:val="002060"/>
        </w:rPr>
        <w:t xml:space="preserve"> e</w:t>
      </w:r>
      <w:r w:rsidR="3D265239" w:rsidRPr="428B222A">
        <w:rPr>
          <w:rFonts w:ascii="Montserrat" w:hAnsi="Montserrat"/>
          <w:b/>
          <w:bCs/>
          <w:color w:val="243962"/>
        </w:rPr>
        <w:t xml:space="preserve">uros al </w:t>
      </w:r>
      <w:r w:rsidR="3D265239" w:rsidRPr="767E3E01">
        <w:rPr>
          <w:rFonts w:ascii="Montserrat" w:hAnsi="Montserrat"/>
          <w:b/>
          <w:bCs/>
          <w:color w:val="243962"/>
        </w:rPr>
        <w:t>mes</w:t>
      </w:r>
      <w:r w:rsidR="00164271" w:rsidRPr="3E33FF15">
        <w:rPr>
          <w:rFonts w:ascii="Montserrat" w:hAnsi="Montserrat"/>
          <w:b/>
          <w:color w:val="243962"/>
        </w:rPr>
        <w:t xml:space="preserve"> </w:t>
      </w:r>
    </w:p>
    <w:p w14:paraId="52BF5CBB" w14:textId="6D6C2D2C" w:rsidR="009D6CDC" w:rsidRPr="000F3508" w:rsidRDefault="009D6CDC" w:rsidP="00CF0A63">
      <w:pPr>
        <w:rPr>
          <w:rFonts w:ascii="Muli" w:hAnsi="Muli"/>
        </w:rPr>
      </w:pPr>
      <w:r w:rsidRPr="000F3508">
        <w:rPr>
          <w:rFonts w:ascii="Muli" w:hAnsi="Muli"/>
        </w:rPr>
        <w:t>Si comparamos el mes de ju</w:t>
      </w:r>
      <w:r w:rsidR="00C726BF" w:rsidRPr="000F3508">
        <w:rPr>
          <w:rFonts w:ascii="Muli" w:hAnsi="Muli"/>
        </w:rPr>
        <w:t>l</w:t>
      </w:r>
      <w:r w:rsidRPr="000F3508">
        <w:rPr>
          <w:rFonts w:ascii="Muli" w:hAnsi="Muli"/>
        </w:rPr>
        <w:t xml:space="preserve">io de 2026 respecto al año pasado, vemos que entonces el euríbor se encontraba en el 2%, su nivel más bajo en los últimos cuatro años. Por lo que, pese a que la tendencia </w:t>
      </w:r>
      <w:r w:rsidR="00F74EBC" w:rsidRPr="000F3508">
        <w:rPr>
          <w:rFonts w:ascii="Muli" w:hAnsi="Muli"/>
        </w:rPr>
        <w:t>todavía es de</w:t>
      </w:r>
      <w:r w:rsidRPr="000F3508">
        <w:rPr>
          <w:rFonts w:ascii="Muli" w:hAnsi="Muli"/>
        </w:rPr>
        <w:t xml:space="preserve"> estabilización, todas aquellos que tengan que renovar su cuota en el mes de junio se verán afectados por el alza. </w:t>
      </w:r>
    </w:p>
    <w:p w14:paraId="2B256CF6" w14:textId="101932C4" w:rsidR="00F6534A" w:rsidRPr="000F3508" w:rsidRDefault="00A622BA" w:rsidP="00CF0A63">
      <w:pPr>
        <w:rPr>
          <w:rFonts w:ascii="Muli" w:hAnsi="Muli"/>
        </w:rPr>
      </w:pPr>
      <w:r w:rsidRPr="000F3508">
        <w:rPr>
          <w:rFonts w:ascii="Muli" w:hAnsi="Muli"/>
        </w:rPr>
        <w:t xml:space="preserve">Para </w:t>
      </w:r>
      <w:r w:rsidR="002526CC" w:rsidRPr="000F3508">
        <w:rPr>
          <w:rFonts w:ascii="Muli" w:hAnsi="Muli"/>
        </w:rPr>
        <w:t xml:space="preserve">visualizar cómo afecta esta subida al bolsillo de las familias, veamos el impacto mensual </w:t>
      </w:r>
      <w:r w:rsidR="00CB7FB7" w:rsidRPr="000F3508">
        <w:rPr>
          <w:rFonts w:ascii="Muli" w:hAnsi="Muli"/>
        </w:rPr>
        <w:t xml:space="preserve">de </w:t>
      </w:r>
      <w:r w:rsidRPr="000F3508">
        <w:rPr>
          <w:rFonts w:ascii="Muli" w:hAnsi="Muli"/>
        </w:rPr>
        <w:t xml:space="preserve">dos supuestos de hipotecas variables a 30 años, considerando un diferencial de </w:t>
      </w:r>
      <w:r w:rsidR="0020573F" w:rsidRPr="000F3508">
        <w:rPr>
          <w:rFonts w:ascii="Muli" w:hAnsi="Muli"/>
        </w:rPr>
        <w:t>e</w:t>
      </w:r>
      <w:r w:rsidRPr="000F3508">
        <w:rPr>
          <w:rFonts w:ascii="Muli" w:hAnsi="Muli"/>
        </w:rPr>
        <w:t>uríbor (2,8</w:t>
      </w:r>
      <w:r w:rsidR="00F74EBC" w:rsidRPr="000F3508">
        <w:rPr>
          <w:rFonts w:ascii="Muli" w:hAnsi="Muli"/>
        </w:rPr>
        <w:t>40</w:t>
      </w:r>
      <w:r w:rsidRPr="000F3508">
        <w:rPr>
          <w:rFonts w:ascii="Muli" w:hAnsi="Muli"/>
        </w:rPr>
        <w:t xml:space="preserve">%) </w:t>
      </w:r>
      <w:r w:rsidR="00F6534A" w:rsidRPr="000F3508">
        <w:rPr>
          <w:rFonts w:ascii="Muli" w:hAnsi="Muli"/>
        </w:rPr>
        <w:t>+ 0,60%</w:t>
      </w:r>
      <w:r w:rsidR="00F20760" w:rsidRPr="000F3508">
        <w:rPr>
          <w:rFonts w:ascii="Muli" w:hAnsi="Muli"/>
        </w:rPr>
        <w:t xml:space="preserve">. </w:t>
      </w:r>
      <w:r w:rsidR="27DD06D8" w:rsidRPr="000F3508">
        <w:rPr>
          <w:rFonts w:ascii="Muli" w:hAnsi="Muli"/>
        </w:rPr>
        <w:t xml:space="preserve">En el caso de una hipoteca de 350.000 euros, </w:t>
      </w:r>
      <w:r w:rsidR="2566251A" w:rsidRPr="000F3508">
        <w:rPr>
          <w:rFonts w:ascii="Muli" w:hAnsi="Muli"/>
        </w:rPr>
        <w:t xml:space="preserve">si se hace una revisión anual la cuota de </w:t>
      </w:r>
      <w:r w:rsidR="6C7C7EA1" w:rsidRPr="000F3508">
        <w:rPr>
          <w:rFonts w:ascii="Muli" w:hAnsi="Muli"/>
        </w:rPr>
        <w:t>1.</w:t>
      </w:r>
      <w:r w:rsidR="00F74EBC" w:rsidRPr="000F3508">
        <w:rPr>
          <w:rFonts w:ascii="Muli" w:hAnsi="Muli"/>
        </w:rPr>
        <w:t>415,72</w:t>
      </w:r>
      <w:r w:rsidR="009D6CDC" w:rsidRPr="000F3508">
        <w:rPr>
          <w:rFonts w:ascii="Muli" w:hAnsi="Muli"/>
        </w:rPr>
        <w:t xml:space="preserve"> </w:t>
      </w:r>
      <w:r w:rsidR="6C7C7EA1" w:rsidRPr="000F3508">
        <w:rPr>
          <w:rFonts w:ascii="Muli" w:hAnsi="Muli"/>
        </w:rPr>
        <w:t>euros en</w:t>
      </w:r>
      <w:r w:rsidR="7D4AB7EB" w:rsidRPr="000F3508">
        <w:rPr>
          <w:rFonts w:ascii="Muli" w:hAnsi="Muli"/>
        </w:rPr>
        <w:t xml:space="preserve"> </w:t>
      </w:r>
      <w:r w:rsidR="009D6CDC" w:rsidRPr="000F3508">
        <w:rPr>
          <w:rFonts w:ascii="Muli" w:hAnsi="Muli"/>
        </w:rPr>
        <w:t>ju</w:t>
      </w:r>
      <w:r w:rsidR="00F74EBC" w:rsidRPr="000F3508">
        <w:rPr>
          <w:rFonts w:ascii="Muli" w:hAnsi="Muli"/>
        </w:rPr>
        <w:t>l</w:t>
      </w:r>
      <w:r w:rsidR="009D6CDC" w:rsidRPr="000F3508">
        <w:rPr>
          <w:rFonts w:ascii="Muli" w:hAnsi="Muli"/>
        </w:rPr>
        <w:t>io</w:t>
      </w:r>
      <w:r w:rsidR="7D4AB7EB" w:rsidRPr="000F3508">
        <w:rPr>
          <w:rFonts w:ascii="Muli" w:hAnsi="Muli"/>
        </w:rPr>
        <w:t xml:space="preserve"> del año pasado</w:t>
      </w:r>
      <w:r w:rsidR="6C7C7EA1" w:rsidRPr="000F3508">
        <w:rPr>
          <w:rFonts w:ascii="Muli" w:hAnsi="Muli"/>
        </w:rPr>
        <w:t xml:space="preserve"> pasará a 1.</w:t>
      </w:r>
      <w:r w:rsidR="00F47CD1">
        <w:rPr>
          <w:rFonts w:ascii="Muli" w:hAnsi="Muli"/>
        </w:rPr>
        <w:t>558</w:t>
      </w:r>
      <w:r w:rsidR="009751DB">
        <w:rPr>
          <w:rFonts w:ascii="Muli" w:hAnsi="Muli"/>
        </w:rPr>
        <w:t>,61</w:t>
      </w:r>
      <w:r w:rsidR="3B74AECB" w:rsidRPr="000F3508">
        <w:rPr>
          <w:rFonts w:ascii="Muli" w:hAnsi="Muli"/>
        </w:rPr>
        <w:t xml:space="preserve"> euros, por lo que habrá una subida </w:t>
      </w:r>
      <w:r w:rsidR="3C847EA5" w:rsidRPr="000F3508">
        <w:rPr>
          <w:rFonts w:ascii="Muli" w:hAnsi="Muli"/>
        </w:rPr>
        <w:t xml:space="preserve">de </w:t>
      </w:r>
      <w:r w:rsidR="009751DB">
        <w:rPr>
          <w:rFonts w:ascii="Muli" w:hAnsi="Muli"/>
        </w:rPr>
        <w:t>142,89</w:t>
      </w:r>
      <w:r w:rsidR="3C847EA5" w:rsidRPr="000F3508">
        <w:rPr>
          <w:rFonts w:ascii="Muli" w:hAnsi="Muli"/>
        </w:rPr>
        <w:t xml:space="preserve"> euros al mes si la revisión se hace en este mes</w:t>
      </w:r>
      <w:r w:rsidR="009D6CDC" w:rsidRPr="000F3508">
        <w:rPr>
          <w:rFonts w:ascii="Muli" w:hAnsi="Muli"/>
        </w:rPr>
        <w:t xml:space="preserve">. </w:t>
      </w:r>
    </w:p>
    <w:p w14:paraId="2D0445A1" w14:textId="2784ECEC" w:rsidR="009D6CDC" w:rsidRPr="000F3508" w:rsidRDefault="005A30B9" w:rsidP="00CF0A63">
      <w:pPr>
        <w:rPr>
          <w:rFonts w:ascii="Muli" w:hAnsi="Muli"/>
        </w:rPr>
      </w:pPr>
      <w:r w:rsidRPr="000F3508">
        <w:rPr>
          <w:rFonts w:ascii="Muli" w:hAnsi="Muli"/>
        </w:rPr>
        <w:t>Mientras que</w:t>
      </w:r>
      <w:r w:rsidR="00DC733B" w:rsidRPr="000F3508">
        <w:rPr>
          <w:rFonts w:ascii="Muli" w:hAnsi="Muli"/>
        </w:rPr>
        <w:t>,</w:t>
      </w:r>
      <w:r w:rsidRPr="000F3508">
        <w:rPr>
          <w:rFonts w:ascii="Muli" w:hAnsi="Muli"/>
        </w:rPr>
        <w:t xml:space="preserve"> en una hipoteca de 200.000 euro</w:t>
      </w:r>
      <w:r w:rsidR="008643F3" w:rsidRPr="000F3508">
        <w:rPr>
          <w:rFonts w:ascii="Muli" w:hAnsi="Muli"/>
        </w:rPr>
        <w:t xml:space="preserve">s </w:t>
      </w:r>
      <w:r w:rsidR="781E8B39" w:rsidRPr="000F3508">
        <w:rPr>
          <w:rFonts w:ascii="Muli" w:hAnsi="Muli"/>
        </w:rPr>
        <w:t xml:space="preserve">con una revisión </w:t>
      </w:r>
      <w:r w:rsidR="00461780" w:rsidRPr="000F3508">
        <w:rPr>
          <w:rFonts w:ascii="Muli" w:hAnsi="Muli"/>
        </w:rPr>
        <w:t xml:space="preserve">anual, la cuota pasa de </w:t>
      </w:r>
      <w:r w:rsidR="00F74EBC" w:rsidRPr="000F3508">
        <w:rPr>
          <w:rFonts w:ascii="Muli" w:hAnsi="Muli"/>
        </w:rPr>
        <w:t>808,98</w:t>
      </w:r>
      <w:r w:rsidR="00461780" w:rsidRPr="000F3508">
        <w:rPr>
          <w:rFonts w:ascii="Muli" w:hAnsi="Muli"/>
        </w:rPr>
        <w:t xml:space="preserve"> euros que pagaba </w:t>
      </w:r>
      <w:r w:rsidR="007A22DC" w:rsidRPr="000F3508">
        <w:rPr>
          <w:rFonts w:ascii="Muli" w:hAnsi="Muli"/>
        </w:rPr>
        <w:t xml:space="preserve">en </w:t>
      </w:r>
      <w:r w:rsidR="009D6CDC" w:rsidRPr="000F3508">
        <w:rPr>
          <w:rFonts w:ascii="Muli" w:hAnsi="Muli"/>
        </w:rPr>
        <w:t>ju</w:t>
      </w:r>
      <w:r w:rsidR="00F74EBC" w:rsidRPr="000F3508">
        <w:rPr>
          <w:rFonts w:ascii="Muli" w:hAnsi="Muli"/>
        </w:rPr>
        <w:t>l</w:t>
      </w:r>
      <w:r w:rsidR="009D6CDC" w:rsidRPr="000F3508">
        <w:rPr>
          <w:rFonts w:ascii="Muli" w:hAnsi="Muli"/>
        </w:rPr>
        <w:t xml:space="preserve">io </w:t>
      </w:r>
      <w:r w:rsidR="007A22DC" w:rsidRPr="000F3508">
        <w:rPr>
          <w:rFonts w:ascii="Muli" w:hAnsi="Muli"/>
        </w:rPr>
        <w:t>de 2025</w:t>
      </w:r>
      <w:r w:rsidR="00461780" w:rsidRPr="000F3508">
        <w:rPr>
          <w:rFonts w:ascii="Muli" w:hAnsi="Muli"/>
        </w:rPr>
        <w:t xml:space="preserve">, a unos </w:t>
      </w:r>
      <w:r w:rsidR="000F3508" w:rsidRPr="000F3508">
        <w:rPr>
          <w:rFonts w:ascii="Muli" w:hAnsi="Muli"/>
        </w:rPr>
        <w:t>890,</w:t>
      </w:r>
      <w:r w:rsidR="00F47CD1">
        <w:rPr>
          <w:rFonts w:ascii="Muli" w:hAnsi="Muli"/>
        </w:rPr>
        <w:t>63</w:t>
      </w:r>
      <w:r w:rsidR="00461780" w:rsidRPr="000F3508">
        <w:rPr>
          <w:rFonts w:ascii="Muli" w:hAnsi="Muli"/>
        </w:rPr>
        <w:t xml:space="preserve"> euros tras esta n</w:t>
      </w:r>
      <w:r w:rsidR="00A336F5" w:rsidRPr="000F3508">
        <w:rPr>
          <w:rFonts w:ascii="Muli" w:hAnsi="Muli"/>
        </w:rPr>
        <w:t xml:space="preserve">ueva revisión </w:t>
      </w:r>
      <w:r w:rsidR="00394DF6" w:rsidRPr="000F3508">
        <w:rPr>
          <w:rFonts w:ascii="Muli" w:hAnsi="Muli"/>
        </w:rPr>
        <w:t xml:space="preserve">de </w:t>
      </w:r>
      <w:r w:rsidR="009D6CDC" w:rsidRPr="000F3508">
        <w:rPr>
          <w:rFonts w:ascii="Muli" w:hAnsi="Muli"/>
        </w:rPr>
        <w:t>ju</w:t>
      </w:r>
      <w:r w:rsidR="00F74EBC" w:rsidRPr="000F3508">
        <w:rPr>
          <w:rFonts w:ascii="Muli" w:hAnsi="Muli"/>
        </w:rPr>
        <w:t>l</w:t>
      </w:r>
      <w:r w:rsidR="009D6CDC" w:rsidRPr="000F3508">
        <w:rPr>
          <w:rFonts w:ascii="Muli" w:hAnsi="Muli"/>
        </w:rPr>
        <w:t>io de</w:t>
      </w:r>
      <w:r w:rsidR="007A22DC" w:rsidRPr="000F3508">
        <w:rPr>
          <w:rFonts w:ascii="Muli" w:hAnsi="Muli"/>
        </w:rPr>
        <w:t xml:space="preserve"> 2026</w:t>
      </w:r>
      <w:r w:rsidR="00394DF6" w:rsidRPr="000F3508">
        <w:rPr>
          <w:rFonts w:ascii="Muli" w:hAnsi="Muli"/>
        </w:rPr>
        <w:t xml:space="preserve">. </w:t>
      </w:r>
      <w:r w:rsidR="00DC733B" w:rsidRPr="000F3508">
        <w:rPr>
          <w:rFonts w:ascii="Muli" w:hAnsi="Muli"/>
        </w:rPr>
        <w:t xml:space="preserve">Esto supone un incremento de unos </w:t>
      </w:r>
      <w:r w:rsidR="000F3508" w:rsidRPr="000F3508">
        <w:rPr>
          <w:rFonts w:ascii="Muli" w:hAnsi="Muli"/>
        </w:rPr>
        <w:t>81,</w:t>
      </w:r>
      <w:r w:rsidR="00F47CD1">
        <w:rPr>
          <w:rFonts w:ascii="Muli" w:hAnsi="Muli"/>
        </w:rPr>
        <w:t xml:space="preserve">65 </w:t>
      </w:r>
      <w:r w:rsidR="00DC733B" w:rsidRPr="000F3508">
        <w:rPr>
          <w:rFonts w:ascii="Muli" w:hAnsi="Muli"/>
        </w:rPr>
        <w:t>euros mensuales</w:t>
      </w:r>
      <w:r w:rsidR="009D6CDC" w:rsidRPr="000F3508">
        <w:rPr>
          <w:rFonts w:ascii="Muli" w:hAnsi="Muli"/>
        </w:rPr>
        <w:t xml:space="preserve">. </w:t>
      </w:r>
    </w:p>
    <w:p w14:paraId="2EB04C48" w14:textId="4BE21771" w:rsidR="310D3841" w:rsidRDefault="310D3841" w:rsidP="310D3841">
      <w:pPr>
        <w:rPr>
          <w:rFonts w:ascii="Muli" w:hAnsi="Muli"/>
          <w:color w:val="000000" w:themeColor="text1"/>
        </w:rPr>
      </w:pPr>
    </w:p>
    <w:p w14:paraId="232CDB0F" w14:textId="29CF6085" w:rsidR="009D6CDC" w:rsidRPr="009D6CDC" w:rsidRDefault="004E5311" w:rsidP="310D3841">
      <w:pPr>
        <w:rPr>
          <w:rFonts w:ascii="Muli" w:hAnsi="Muli"/>
          <w:color w:val="000000" w:themeColor="text1"/>
        </w:rPr>
      </w:pPr>
      <w:r>
        <w:rPr>
          <w:rFonts w:ascii="Muli" w:hAnsi="Muli"/>
          <w:noProof/>
          <w:color w:val="000000" w:themeColor="text1"/>
        </w:rPr>
        <w:drawing>
          <wp:inline distT="0" distB="0" distL="0" distR="0" wp14:anchorId="13B6A024" wp14:editId="710C7E93">
            <wp:extent cx="5354686" cy="2102829"/>
            <wp:effectExtent l="0" t="0" r="0" b="0"/>
            <wp:docPr id="151126029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260293" name="Imagen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54686" cy="2102829"/>
                    </a:xfrm>
                    <a:prstGeom prst="rect">
                      <a:avLst/>
                    </a:prstGeom>
                  </pic:spPr>
                </pic:pic>
              </a:graphicData>
            </a:graphic>
          </wp:inline>
        </w:drawing>
      </w:r>
    </w:p>
    <w:p w14:paraId="2D793CAD" w14:textId="02CDF5E1" w:rsidR="310D3841" w:rsidRDefault="00E54278" w:rsidP="310D3841">
      <w:pPr>
        <w:rPr>
          <w:rFonts w:ascii="Montserrat" w:hAnsi="Montserrat"/>
          <w:b/>
          <w:color w:val="243962"/>
        </w:rPr>
      </w:pPr>
      <w:r>
        <w:rPr>
          <w:rFonts w:ascii="Montserrat" w:hAnsi="Montserrat"/>
          <w:b/>
          <w:bCs/>
          <w:color w:val="243962"/>
        </w:rPr>
        <w:t>El escenario</w:t>
      </w:r>
      <w:r w:rsidR="00F74EBC">
        <w:rPr>
          <w:rFonts w:ascii="Montserrat" w:hAnsi="Montserrat"/>
          <w:b/>
          <w:bCs/>
          <w:color w:val="243962"/>
        </w:rPr>
        <w:t xml:space="preserve"> podría cambiar en otoño </w:t>
      </w:r>
    </w:p>
    <w:p w14:paraId="4D83B50B" w14:textId="3D461CA6" w:rsidR="009D6CDC" w:rsidRDefault="00E54278" w:rsidP="310D3841">
      <w:pPr>
        <w:rPr>
          <w:rFonts w:ascii="Muli" w:hAnsi="Muli"/>
          <w:color w:val="000000" w:themeColor="text1"/>
        </w:rPr>
      </w:pPr>
      <w:r>
        <w:rPr>
          <w:rFonts w:ascii="Muli" w:hAnsi="Muli"/>
          <w:color w:val="000000" w:themeColor="text1"/>
        </w:rPr>
        <w:t>El repunte en el mes de julio tras las ligeras bajadas</w:t>
      </w:r>
      <w:r w:rsidR="00F74EBC">
        <w:rPr>
          <w:rFonts w:ascii="Muli" w:hAnsi="Muli"/>
          <w:color w:val="000000" w:themeColor="text1"/>
        </w:rPr>
        <w:t xml:space="preserve"> de los últimos meses</w:t>
      </w:r>
      <w:r>
        <w:rPr>
          <w:rFonts w:ascii="Muli" w:hAnsi="Muli"/>
          <w:color w:val="000000" w:themeColor="text1"/>
        </w:rPr>
        <w:t xml:space="preserve"> podría anticipar una subida de los tipos de interés en otoño.</w:t>
      </w:r>
      <w:r w:rsidR="009D6CDC">
        <w:rPr>
          <w:rFonts w:ascii="Muli" w:hAnsi="Muli"/>
          <w:color w:val="000000" w:themeColor="text1"/>
        </w:rPr>
        <w:t xml:space="preserve"> “</w:t>
      </w:r>
      <w:r>
        <w:rPr>
          <w:rFonts w:ascii="Muli" w:hAnsi="Muli"/>
          <w:color w:val="000000" w:themeColor="text1"/>
        </w:rPr>
        <w:t>Las entidades se anticipan al mensaje de cautela del Banco Central Europeo, por lo que tras unas semanas de tranquilidad podría haber cambios</w:t>
      </w:r>
      <w:r w:rsidR="009D6CDC">
        <w:rPr>
          <w:rFonts w:ascii="Muli" w:hAnsi="Muli"/>
          <w:color w:val="000000" w:themeColor="text1"/>
        </w:rPr>
        <w:t>”, señala Martínez</w:t>
      </w:r>
      <w:r>
        <w:rPr>
          <w:rFonts w:ascii="Muli" w:hAnsi="Muli"/>
          <w:color w:val="000000" w:themeColor="text1"/>
        </w:rPr>
        <w:t>. Aun así, la decisión de organismo dependerá de la evolución de la inflación en los próximos meses</w:t>
      </w:r>
      <w:r w:rsidR="00F74EBC">
        <w:rPr>
          <w:rFonts w:ascii="Muli" w:hAnsi="Muli"/>
          <w:color w:val="000000" w:themeColor="text1"/>
        </w:rPr>
        <w:t xml:space="preserve"> y en concreto del precio del petróleo</w:t>
      </w:r>
      <w:r w:rsidR="004915CE">
        <w:rPr>
          <w:rFonts w:ascii="Muli" w:hAnsi="Muli"/>
          <w:color w:val="000000" w:themeColor="text1"/>
        </w:rPr>
        <w:t>,</w:t>
      </w:r>
      <w:r w:rsidR="007A3B80">
        <w:rPr>
          <w:rFonts w:ascii="Muli" w:hAnsi="Muli"/>
          <w:color w:val="000000" w:themeColor="text1"/>
        </w:rPr>
        <w:t xml:space="preserve"> que ha rondado de nuevo los 100 euros el barril los últimos días,</w:t>
      </w:r>
      <w:r w:rsidR="004915CE">
        <w:rPr>
          <w:rFonts w:ascii="Muli" w:hAnsi="Muli"/>
          <w:color w:val="000000" w:themeColor="text1"/>
        </w:rPr>
        <w:t xml:space="preserve"> por lo que conviene poner el dato en contexto. “La subida mensual es muy moderada y no altera el escenario de estabilidad en el que llevamos </w:t>
      </w:r>
      <w:r w:rsidR="004915CE">
        <w:rPr>
          <w:rFonts w:ascii="Muli" w:hAnsi="Muli"/>
          <w:color w:val="000000" w:themeColor="text1"/>
        </w:rPr>
        <w:lastRenderedPageBreak/>
        <w:t>instalados varias semanas</w:t>
      </w:r>
      <w:r w:rsidR="00BD66C4">
        <w:rPr>
          <w:rFonts w:ascii="Muli" w:hAnsi="Muli"/>
          <w:color w:val="000000" w:themeColor="text1"/>
        </w:rPr>
        <w:t>, por lo que hoy estamos mucho más cerca de un mercado previsible que de los fuertes movimientos que v</w:t>
      </w:r>
      <w:r w:rsidR="000C382A">
        <w:rPr>
          <w:rFonts w:ascii="Muli" w:hAnsi="Muli"/>
          <w:color w:val="000000" w:themeColor="text1"/>
        </w:rPr>
        <w:t xml:space="preserve">imos </w:t>
      </w:r>
      <w:r w:rsidR="00BD66C4">
        <w:rPr>
          <w:rFonts w:ascii="Muli" w:hAnsi="Muli"/>
          <w:color w:val="000000" w:themeColor="text1"/>
        </w:rPr>
        <w:t xml:space="preserve">hace dos o tres años”, advierte Martínez. </w:t>
      </w:r>
      <w:r w:rsidR="00F74EBC">
        <w:rPr>
          <w:rFonts w:ascii="Muli" w:hAnsi="Muli"/>
          <w:color w:val="000000" w:themeColor="text1"/>
        </w:rPr>
        <w:t>Las entidades financieras ya han ajustado buena parte de sus ofertas hipotecarias durante el primer semestre y, tradicionalmente, el verano suele ser un periodo de menos actividad comercial, por lo que las condiciones no variarán hasta después del verano, cuando el mercado vuelva a mirar de cerca</w:t>
      </w:r>
      <w:r w:rsidR="007A3B80">
        <w:rPr>
          <w:rFonts w:ascii="Muli" w:hAnsi="Muli"/>
          <w:color w:val="000000" w:themeColor="text1"/>
        </w:rPr>
        <w:t xml:space="preserve"> el conflicto en Oriente Próximo y las</w:t>
      </w:r>
      <w:r w:rsidR="00F74EBC">
        <w:rPr>
          <w:rFonts w:ascii="Muli" w:hAnsi="Muli"/>
          <w:color w:val="000000" w:themeColor="text1"/>
        </w:rPr>
        <w:t xml:space="preserve"> </w:t>
      </w:r>
      <w:r w:rsidR="007A3B80">
        <w:rPr>
          <w:rFonts w:ascii="Muli" w:hAnsi="Muli"/>
          <w:color w:val="000000" w:themeColor="text1"/>
        </w:rPr>
        <w:t xml:space="preserve">consecuentes </w:t>
      </w:r>
      <w:r w:rsidR="00F74EBC">
        <w:rPr>
          <w:rFonts w:ascii="Muli" w:hAnsi="Muli"/>
          <w:color w:val="000000" w:themeColor="text1"/>
        </w:rPr>
        <w:t>decisiones del Banco Central Europeo</w:t>
      </w:r>
      <w:r w:rsidR="007A3B80">
        <w:rPr>
          <w:rFonts w:ascii="Muli" w:hAnsi="Muli"/>
          <w:color w:val="000000" w:themeColor="text1"/>
        </w:rPr>
        <w:t xml:space="preserve">. </w:t>
      </w:r>
    </w:p>
    <w:p w14:paraId="69C8CB94" w14:textId="77777777" w:rsidR="00840C0A" w:rsidRDefault="00840C0A" w:rsidP="00113AD7">
      <w:pPr>
        <w:rPr>
          <w:rStyle w:val="contentpasted0"/>
          <w:rFonts w:ascii="Muli" w:hAnsi="Muli"/>
          <w:b/>
          <w:bCs/>
          <w:color w:val="243962"/>
        </w:rPr>
      </w:pPr>
    </w:p>
    <w:p w14:paraId="4186F750" w14:textId="3C74D980" w:rsidR="00113AD7" w:rsidRDefault="527DAA66" w:rsidP="00113AD7">
      <w:r w:rsidRPr="0917CDB9">
        <w:rPr>
          <w:rStyle w:val="contentpasted0"/>
          <w:rFonts w:ascii="Muli" w:hAnsi="Muli"/>
          <w:b/>
          <w:bCs/>
          <w:color w:val="243962"/>
        </w:rPr>
        <w:t xml:space="preserve">Si necesita más información o declaraciones en formato audiovisual: </w:t>
      </w:r>
      <w:r w:rsidRPr="0917CDB9">
        <w:rPr>
          <w:rStyle w:val="contentpasted0"/>
          <w:rFonts w:ascii="Muli" w:hAnsi="Muli"/>
          <w:color w:val="000000" w:themeColor="text1"/>
        </w:rPr>
        <w:t>Póngase en contacto con el departamento de Comunicación. </w:t>
      </w:r>
    </w:p>
    <w:p w14:paraId="6144B169" w14:textId="5AE742B6" w:rsidR="0917CDB9" w:rsidRDefault="0917CDB9" w:rsidP="0917CDB9">
      <w:pPr>
        <w:rPr>
          <w:rStyle w:val="contentpasted0"/>
          <w:rFonts w:ascii="Muli" w:hAnsi="Muli"/>
          <w:color w:val="000000" w:themeColor="text1"/>
        </w:rPr>
      </w:pPr>
    </w:p>
    <w:p w14:paraId="71CA93EC" w14:textId="77777777" w:rsidR="00113AD7" w:rsidRDefault="00113AD7" w:rsidP="50A4E4E4">
      <w:pPr>
        <w:rPr>
          <w:rFonts w:ascii="Muli" w:hAnsi="Muli"/>
          <w:b/>
          <w:bCs/>
          <w:color w:val="243962"/>
        </w:rPr>
      </w:pPr>
      <w:r w:rsidRPr="50A4E4E4">
        <w:rPr>
          <w:rFonts w:ascii="Muli" w:hAnsi="Muli"/>
          <w:b/>
          <w:bCs/>
          <w:color w:val="243962"/>
        </w:rPr>
        <w:t xml:space="preserve">Sobre iAhorro </w:t>
      </w:r>
    </w:p>
    <w:p w14:paraId="0399B91A" w14:textId="77777777" w:rsidR="00113AD7" w:rsidRDefault="00113AD7" w:rsidP="00113AD7">
      <w:pPr>
        <w:rPr>
          <w:rFonts w:ascii="Muli" w:hAnsi="Muli"/>
        </w:rPr>
      </w:pPr>
      <w:r>
        <w:rPr>
          <w:rFonts w:ascii="Muli" w:hAnsi="Muli"/>
        </w:rPr>
        <w:t>iAhorro es el asesor hipotecario líder en España. El objetivo de la empresa es ayudar a los usuarios a contratar las hipotecas que mejor se adapten a sus necesidades.</w:t>
      </w:r>
    </w:p>
    <w:p w14:paraId="3B5ED15E" w14:textId="77777777" w:rsidR="00113AD7" w:rsidRDefault="00113AD7" w:rsidP="00113AD7">
      <w:pPr>
        <w:rPr>
          <w:rFonts w:ascii="Muli" w:hAnsi="Muli"/>
        </w:rPr>
      </w:pPr>
      <w:r>
        <w:rPr>
          <w:rFonts w:ascii="Muli" w:hAnsi="Muli"/>
        </w:rPr>
        <w:t xml:space="preserve">iAhorro está certificada como empresa Intermediaria de Crédito Inmobiliario nºD185 por el Banco de España. iAhorro es una empresa independiente de las entidades financieras. Es propiedad del Grupo BC y está respaldado por el fondo Silver Lake. </w:t>
      </w:r>
    </w:p>
    <w:p w14:paraId="3F92E275" w14:textId="77777777" w:rsidR="00113AD7" w:rsidRDefault="00113AD7" w:rsidP="00113AD7">
      <w:pPr>
        <w:rPr>
          <w:rFonts w:ascii="Muli" w:hAnsi="Muli"/>
        </w:rPr>
      </w:pPr>
      <w:r>
        <w:rPr>
          <w:rFonts w:ascii="Muli" w:hAnsi="Muli"/>
        </w:rPr>
        <w:t xml:space="preserve">Fundado en 1974 con sede en Madrid, Grupo BC es el proveedor líder de servicios y software para la gestión hipotecaria, intermediación hipotecaria online, soluciones legales (tramitación de reclamaciones y gestión de préstamos) y soluciones digitales para el sector financiero en España, Portugal, México, Brasil, Colombia, Chile y Perú. Grupo BC es líder del mercado en sus principales áreas de interés, con más de 500.000 expedientes hipotecarios procesados al año y 5.300 colaboradores. </w:t>
      </w:r>
    </w:p>
    <w:p w14:paraId="38524656" w14:textId="60C3F123" w:rsidR="008F7397" w:rsidRDefault="00113AD7">
      <w:r>
        <w:rPr>
          <w:rFonts w:ascii="Muli" w:hAnsi="Muli"/>
        </w:rPr>
        <w:t>Silver Lake es una firma global de inversión en compañías tecnológicas, con más de 101.000 millones de dólares en activos bajo gestión y capital comprometido y un equipo de profesionales en Norteamérica, Europa y Asia. Las empresas en la cartera de Silver Lake generan colectivamente más de 266.000 millones de dólares de facturación anual y emplean a más de 540.000 personas en todo el mundo.</w:t>
      </w:r>
    </w:p>
    <w:sectPr w:rsidR="008F7397" w:rsidSect="00113AD7">
      <w:headerReference w:type="default" r:id="rId9"/>
      <w:footerReference w:type="default" r:id="rId10"/>
      <w:pgSz w:w="11906" w:h="16838"/>
      <w:pgMar w:top="1417" w:right="1701" w:bottom="1417" w:left="1701" w:header="34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40573" w14:textId="77777777" w:rsidR="00084205" w:rsidRDefault="00084205" w:rsidP="00113AD7">
      <w:pPr>
        <w:spacing w:after="0" w:line="240" w:lineRule="auto"/>
      </w:pPr>
      <w:r>
        <w:separator/>
      </w:r>
    </w:p>
  </w:endnote>
  <w:endnote w:type="continuationSeparator" w:id="0">
    <w:p w14:paraId="0A7209DB" w14:textId="77777777" w:rsidR="00084205" w:rsidRDefault="00084205" w:rsidP="00113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uli">
    <w:altName w:val="Calibri"/>
    <w:charset w:val="00"/>
    <w:family w:val="auto"/>
    <w:pitch w:val="variable"/>
    <w:sig w:usb0="A00000FF" w:usb1="5000204B" w:usb2="00000000" w:usb3="00000000" w:csb0="00000193" w:csb1="00000000"/>
  </w:font>
  <w:font w:name="Montserrat">
    <w:altName w:val="Montserrat"/>
    <w:panose1 w:val="00000500000000000000"/>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092" w:type="dxa"/>
      <w:tblLook w:val="04A0" w:firstRow="1" w:lastRow="0" w:firstColumn="1" w:lastColumn="0" w:noHBand="0" w:noVBand="1"/>
    </w:tblPr>
    <w:tblGrid>
      <w:gridCol w:w="1980"/>
      <w:gridCol w:w="2745"/>
      <w:gridCol w:w="2367"/>
    </w:tblGrid>
    <w:tr w:rsidR="00900DC5" w:rsidRPr="006C5338" w14:paraId="2FC56323" w14:textId="77777777" w:rsidTr="50A4E4E4">
      <w:trPr>
        <w:trHeight w:val="132"/>
      </w:trPr>
      <w:tc>
        <w:tcPr>
          <w:tcW w:w="1980" w:type="dxa"/>
          <w:vAlign w:val="center"/>
        </w:tcPr>
        <w:p w14:paraId="113E7E87" w14:textId="77777777" w:rsidR="00900DC5" w:rsidRDefault="00900DC5" w:rsidP="00D400F9">
          <w:pPr>
            <w:tabs>
              <w:tab w:val="left" w:pos="1036"/>
            </w:tabs>
            <w:rPr>
              <w:b/>
              <w:sz w:val="18"/>
              <w:szCs w:val="18"/>
            </w:rPr>
          </w:pPr>
          <w:r>
            <w:rPr>
              <w:noProof/>
            </w:rPr>
            <w:drawing>
              <wp:inline distT="0" distB="0" distL="0" distR="0" wp14:anchorId="3D9A1930" wp14:editId="5BC522F9">
                <wp:extent cx="1041991" cy="493123"/>
                <wp:effectExtent l="0" t="0" r="0" b="0"/>
                <wp:docPr id="42289635" name="Gráfico 42289635">
                  <a:extLst xmlns:a="http://schemas.openxmlformats.org/drawingml/2006/main">
                    <a:ext uri="{FF2B5EF4-FFF2-40B4-BE49-F238E27FC236}">
                      <a16:creationId xmlns:a16="http://schemas.microsoft.com/office/drawing/2014/main" id="{B17D29EC-43E9-49AA-8C12-ACF2DF80AD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marca-iahorro-v5.1-12.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03646" cy="522301"/>
                        </a:xfrm>
                        <a:prstGeom prst="rect">
                          <a:avLst/>
                        </a:prstGeom>
                      </pic:spPr>
                    </pic:pic>
                  </a:graphicData>
                </a:graphic>
              </wp:inline>
            </w:drawing>
          </w:r>
        </w:p>
      </w:tc>
      <w:tc>
        <w:tcPr>
          <w:tcW w:w="2745" w:type="dxa"/>
          <w:vAlign w:val="center"/>
        </w:tcPr>
        <w:p w14:paraId="2588B652" w14:textId="77777777" w:rsidR="00900DC5" w:rsidRDefault="00900DC5" w:rsidP="00D400F9">
          <w:pPr>
            <w:tabs>
              <w:tab w:val="left" w:pos="1036"/>
            </w:tabs>
            <w:rPr>
              <w:b/>
              <w:sz w:val="18"/>
              <w:szCs w:val="18"/>
            </w:rPr>
          </w:pPr>
        </w:p>
        <w:p w14:paraId="08C720E3" w14:textId="77777777" w:rsidR="00900DC5" w:rsidRPr="00204B1C" w:rsidRDefault="00900DC5" w:rsidP="00D400F9">
          <w:pPr>
            <w:tabs>
              <w:tab w:val="left" w:pos="1036"/>
            </w:tabs>
            <w:rPr>
              <w:b/>
              <w:sz w:val="18"/>
              <w:szCs w:val="18"/>
            </w:rPr>
          </w:pPr>
          <w:r w:rsidRPr="009458B8">
            <w:rPr>
              <w:b/>
              <w:sz w:val="18"/>
              <w:szCs w:val="18"/>
            </w:rPr>
            <w:t>Laura Martínez</w:t>
          </w:r>
          <w:r w:rsidRPr="009458B8">
            <w:rPr>
              <w:sz w:val="18"/>
              <w:szCs w:val="18"/>
            </w:rPr>
            <w:t xml:space="preserve"> </w:t>
          </w:r>
          <w:r>
            <w:rPr>
              <w:sz w:val="18"/>
              <w:szCs w:val="18"/>
            </w:rPr>
            <w:t>– 686 688 757</w:t>
          </w:r>
          <w:r w:rsidRPr="009458B8">
            <w:rPr>
              <w:sz w:val="18"/>
              <w:szCs w:val="18"/>
            </w:rPr>
            <w:br/>
          </w:r>
          <w:hyperlink r:id="rId3" w:history="1">
            <w:r w:rsidRPr="009458B8">
              <w:rPr>
                <w:rStyle w:val="Hipervnculo"/>
                <w:sz w:val="18"/>
                <w:szCs w:val="18"/>
              </w:rPr>
              <w:t>laura.martinez@iahorro.com</w:t>
            </w:r>
          </w:hyperlink>
          <w:r w:rsidRPr="009458B8">
            <w:rPr>
              <w:sz w:val="18"/>
              <w:szCs w:val="18"/>
            </w:rPr>
            <w:t xml:space="preserve"> </w:t>
          </w:r>
        </w:p>
        <w:p w14:paraId="5A4567AD" w14:textId="77777777" w:rsidR="00900DC5" w:rsidRPr="00204B1C" w:rsidRDefault="00900DC5" w:rsidP="00D400F9">
          <w:pPr>
            <w:tabs>
              <w:tab w:val="left" w:pos="1036"/>
            </w:tabs>
            <w:rPr>
              <w:b/>
              <w:sz w:val="18"/>
              <w:szCs w:val="18"/>
            </w:rPr>
          </w:pPr>
        </w:p>
      </w:tc>
      <w:tc>
        <w:tcPr>
          <w:tcW w:w="2367" w:type="dxa"/>
          <w:vAlign w:val="center"/>
        </w:tcPr>
        <w:p w14:paraId="33A72F11" w14:textId="77777777" w:rsidR="00900DC5" w:rsidRPr="00B34F7A" w:rsidRDefault="00900DC5" w:rsidP="00D400F9">
          <w:pPr>
            <w:tabs>
              <w:tab w:val="left" w:pos="1036"/>
            </w:tabs>
            <w:rPr>
              <w:b/>
              <w:sz w:val="18"/>
              <w:szCs w:val="18"/>
              <w:lang w:val="pt-PT"/>
            </w:rPr>
          </w:pPr>
        </w:p>
      </w:tc>
    </w:tr>
  </w:tbl>
  <w:p w14:paraId="427905E3" w14:textId="77777777" w:rsidR="00900DC5" w:rsidRPr="006C5338" w:rsidRDefault="00900DC5">
    <w:pPr>
      <w:rPr>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CF2B9" w14:textId="77777777" w:rsidR="00084205" w:rsidRDefault="00084205" w:rsidP="00113AD7">
      <w:pPr>
        <w:spacing w:after="0" w:line="240" w:lineRule="auto"/>
      </w:pPr>
      <w:r>
        <w:separator/>
      </w:r>
    </w:p>
  </w:footnote>
  <w:footnote w:type="continuationSeparator" w:id="0">
    <w:p w14:paraId="63B670FE" w14:textId="77777777" w:rsidR="00084205" w:rsidRDefault="00084205" w:rsidP="00113A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49189" w14:textId="77777777" w:rsidR="00900DC5" w:rsidRDefault="00900DC5" w:rsidP="005F2F9F">
    <w:pPr>
      <w:tabs>
        <w:tab w:val="left" w:pos="3415"/>
        <w:tab w:val="left" w:pos="3492"/>
      </w:tabs>
    </w:pPr>
    <w:r w:rsidRPr="00942871">
      <w:rPr>
        <w:noProof/>
      </w:rPr>
      <w:drawing>
        <wp:anchor distT="0" distB="0" distL="114300" distR="114300" simplePos="0" relativeHeight="251658240" behindDoc="0" locked="0" layoutInCell="1" allowOverlap="1" wp14:anchorId="36D43D79" wp14:editId="07470F38">
          <wp:simplePos x="0" y="0"/>
          <wp:positionH relativeFrom="margin">
            <wp:posOffset>4072890</wp:posOffset>
          </wp:positionH>
          <wp:positionV relativeFrom="topMargin">
            <wp:posOffset>333375</wp:posOffset>
          </wp:positionV>
          <wp:extent cx="1509395" cy="714375"/>
          <wp:effectExtent l="0" t="0" r="0" b="0"/>
          <wp:wrapSquare wrapText="bothSides"/>
          <wp:docPr id="936040866" name="Imagen 936040866">
            <a:extLst xmlns:a="http://schemas.openxmlformats.org/drawingml/2006/main">
              <a:ext uri="{FF2B5EF4-FFF2-40B4-BE49-F238E27FC236}">
                <a16:creationId xmlns:a16="http://schemas.microsoft.com/office/drawing/2014/main" id="{AEC091C6-CAFD-4367-AA76-739AE34DDF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09395" cy="714375"/>
                  </a:xfrm>
                  <a:prstGeom prst="rect">
                    <a:avLst/>
                  </a:prstGeom>
                </pic:spPr>
              </pic:pic>
            </a:graphicData>
          </a:graphic>
        </wp:anchor>
      </w:drawing>
    </w:r>
    <w:r>
      <w:rPr>
        <w:noProof/>
      </w:rPr>
      <w:drawing>
        <wp:inline distT="0" distB="0" distL="0" distR="0" wp14:anchorId="4C1F9D07" wp14:editId="73D7EC88">
          <wp:extent cx="1945758" cy="921312"/>
          <wp:effectExtent l="0" t="0" r="0" b="0"/>
          <wp:docPr id="1228877611" name="Gráfico 1228877611">
            <a:extLst xmlns:a="http://schemas.openxmlformats.org/drawingml/2006/main">
              <a:ext uri="{FF2B5EF4-FFF2-40B4-BE49-F238E27FC236}">
                <a16:creationId xmlns:a16="http://schemas.microsoft.com/office/drawing/2014/main" id="{4202698A-129F-4F68-9EED-5DC9244B61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marca-iahorro-v5.1-12.svg"/>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945758" cy="921312"/>
                  </a:xfrm>
                  <a:prstGeom prst="rect">
                    <a:avLst/>
                  </a:prstGeom>
                </pic:spPr>
              </pic:pic>
            </a:graphicData>
          </a:graphic>
        </wp:inline>
      </w:drawing>
    </w:r>
  </w:p>
  <w:p w14:paraId="62502922" w14:textId="77777777" w:rsidR="00900DC5" w:rsidRDefault="00900DC5" w:rsidP="005F2F9F">
    <w:pPr>
      <w:tabs>
        <w:tab w:val="left" w:pos="3415"/>
        <w:tab w:val="left" w:pos="349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AF55E2"/>
    <w:multiLevelType w:val="hybridMultilevel"/>
    <w:tmpl w:val="1FDA7848"/>
    <w:lvl w:ilvl="0" w:tplc="0C0A0001">
      <w:start w:val="1"/>
      <w:numFmt w:val="bullet"/>
      <w:lvlText w:val=""/>
      <w:lvlJc w:val="left"/>
      <w:pPr>
        <w:ind w:left="2629"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27968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AD7"/>
    <w:rsid w:val="000010D4"/>
    <w:rsid w:val="000011A0"/>
    <w:rsid w:val="00003138"/>
    <w:rsid w:val="00007B1D"/>
    <w:rsid w:val="00010174"/>
    <w:rsid w:val="000116F7"/>
    <w:rsid w:val="0001363E"/>
    <w:rsid w:val="00021F60"/>
    <w:rsid w:val="00024BC1"/>
    <w:rsid w:val="00030CD6"/>
    <w:rsid w:val="000313E2"/>
    <w:rsid w:val="00033D09"/>
    <w:rsid w:val="000342F9"/>
    <w:rsid w:val="00037614"/>
    <w:rsid w:val="00040A20"/>
    <w:rsid w:val="00040F4A"/>
    <w:rsid w:val="00041F20"/>
    <w:rsid w:val="00042B94"/>
    <w:rsid w:val="00044BF0"/>
    <w:rsid w:val="000475B9"/>
    <w:rsid w:val="00047DB5"/>
    <w:rsid w:val="00052064"/>
    <w:rsid w:val="0005306D"/>
    <w:rsid w:val="000566C6"/>
    <w:rsid w:val="00064100"/>
    <w:rsid w:val="00070224"/>
    <w:rsid w:val="00070F56"/>
    <w:rsid w:val="000714DF"/>
    <w:rsid w:val="0007715B"/>
    <w:rsid w:val="0007793D"/>
    <w:rsid w:val="00077FF3"/>
    <w:rsid w:val="0008257A"/>
    <w:rsid w:val="0008326F"/>
    <w:rsid w:val="00084205"/>
    <w:rsid w:val="00084F55"/>
    <w:rsid w:val="00085B10"/>
    <w:rsid w:val="00087623"/>
    <w:rsid w:val="0009231A"/>
    <w:rsid w:val="00093569"/>
    <w:rsid w:val="00093707"/>
    <w:rsid w:val="00094EDE"/>
    <w:rsid w:val="00096E97"/>
    <w:rsid w:val="000A14BD"/>
    <w:rsid w:val="000A43C8"/>
    <w:rsid w:val="000A48A1"/>
    <w:rsid w:val="000A6987"/>
    <w:rsid w:val="000B0210"/>
    <w:rsid w:val="000B2FD2"/>
    <w:rsid w:val="000B648E"/>
    <w:rsid w:val="000B6CC3"/>
    <w:rsid w:val="000B75A3"/>
    <w:rsid w:val="000B7D09"/>
    <w:rsid w:val="000C382A"/>
    <w:rsid w:val="000C5D82"/>
    <w:rsid w:val="000C6977"/>
    <w:rsid w:val="000D0BEF"/>
    <w:rsid w:val="000D2DCA"/>
    <w:rsid w:val="000D56A2"/>
    <w:rsid w:val="000D5BF4"/>
    <w:rsid w:val="000E0B87"/>
    <w:rsid w:val="000E3419"/>
    <w:rsid w:val="000E375F"/>
    <w:rsid w:val="000E615C"/>
    <w:rsid w:val="000F0FB0"/>
    <w:rsid w:val="000F1142"/>
    <w:rsid w:val="000F210A"/>
    <w:rsid w:val="000F2E3C"/>
    <w:rsid w:val="000F3508"/>
    <w:rsid w:val="000F4A71"/>
    <w:rsid w:val="000F4F24"/>
    <w:rsid w:val="000F61BE"/>
    <w:rsid w:val="00100AE8"/>
    <w:rsid w:val="00102BDD"/>
    <w:rsid w:val="001110AC"/>
    <w:rsid w:val="00111869"/>
    <w:rsid w:val="00113AD7"/>
    <w:rsid w:val="001254CE"/>
    <w:rsid w:val="001259B9"/>
    <w:rsid w:val="00130373"/>
    <w:rsid w:val="00130F13"/>
    <w:rsid w:val="001343C0"/>
    <w:rsid w:val="00142B8A"/>
    <w:rsid w:val="0014369C"/>
    <w:rsid w:val="0014566E"/>
    <w:rsid w:val="001515C5"/>
    <w:rsid w:val="001518C0"/>
    <w:rsid w:val="001556ED"/>
    <w:rsid w:val="00155BB4"/>
    <w:rsid w:val="00162BCB"/>
    <w:rsid w:val="00164271"/>
    <w:rsid w:val="001668D7"/>
    <w:rsid w:val="0016746E"/>
    <w:rsid w:val="0016792E"/>
    <w:rsid w:val="001723D5"/>
    <w:rsid w:val="001772C2"/>
    <w:rsid w:val="001774D8"/>
    <w:rsid w:val="001777BC"/>
    <w:rsid w:val="00181A56"/>
    <w:rsid w:val="00184D2A"/>
    <w:rsid w:val="00187A5A"/>
    <w:rsid w:val="00187D6B"/>
    <w:rsid w:val="00187F5F"/>
    <w:rsid w:val="001903B9"/>
    <w:rsid w:val="00194A33"/>
    <w:rsid w:val="00196150"/>
    <w:rsid w:val="0019629A"/>
    <w:rsid w:val="001A0D58"/>
    <w:rsid w:val="001A2070"/>
    <w:rsid w:val="001B0BA5"/>
    <w:rsid w:val="001B0F85"/>
    <w:rsid w:val="001B5D54"/>
    <w:rsid w:val="001B6DCC"/>
    <w:rsid w:val="001C0F50"/>
    <w:rsid w:val="001C2FD3"/>
    <w:rsid w:val="001C4704"/>
    <w:rsid w:val="001C636F"/>
    <w:rsid w:val="001D02DD"/>
    <w:rsid w:val="001D1541"/>
    <w:rsid w:val="001D156D"/>
    <w:rsid w:val="001D5903"/>
    <w:rsid w:val="001D7769"/>
    <w:rsid w:val="001E1147"/>
    <w:rsid w:val="001E373F"/>
    <w:rsid w:val="001E38BF"/>
    <w:rsid w:val="001E4C13"/>
    <w:rsid w:val="001E5DA6"/>
    <w:rsid w:val="001E6BD5"/>
    <w:rsid w:val="001E7010"/>
    <w:rsid w:val="001F3D9C"/>
    <w:rsid w:val="001F5CDC"/>
    <w:rsid w:val="001F785B"/>
    <w:rsid w:val="0020011E"/>
    <w:rsid w:val="00204233"/>
    <w:rsid w:val="0020573F"/>
    <w:rsid w:val="00211235"/>
    <w:rsid w:val="00211A03"/>
    <w:rsid w:val="00212E4F"/>
    <w:rsid w:val="002135E4"/>
    <w:rsid w:val="00223DC4"/>
    <w:rsid w:val="00224AFC"/>
    <w:rsid w:val="00226460"/>
    <w:rsid w:val="002317BC"/>
    <w:rsid w:val="0023231A"/>
    <w:rsid w:val="00232C76"/>
    <w:rsid w:val="00233D31"/>
    <w:rsid w:val="00241EFA"/>
    <w:rsid w:val="002421B6"/>
    <w:rsid w:val="00245FAB"/>
    <w:rsid w:val="0024694D"/>
    <w:rsid w:val="00247EEC"/>
    <w:rsid w:val="002509DC"/>
    <w:rsid w:val="002526CC"/>
    <w:rsid w:val="00255AB2"/>
    <w:rsid w:val="002562BA"/>
    <w:rsid w:val="00261E28"/>
    <w:rsid w:val="002656F7"/>
    <w:rsid w:val="00273643"/>
    <w:rsid w:val="002742B6"/>
    <w:rsid w:val="00274C6E"/>
    <w:rsid w:val="00275C89"/>
    <w:rsid w:val="00276EA2"/>
    <w:rsid w:val="002770B7"/>
    <w:rsid w:val="00277D75"/>
    <w:rsid w:val="0028224E"/>
    <w:rsid w:val="002835B6"/>
    <w:rsid w:val="002870A9"/>
    <w:rsid w:val="002876E7"/>
    <w:rsid w:val="00291B79"/>
    <w:rsid w:val="00291C0D"/>
    <w:rsid w:val="00293388"/>
    <w:rsid w:val="002953C1"/>
    <w:rsid w:val="002A095E"/>
    <w:rsid w:val="002A106B"/>
    <w:rsid w:val="002A13B2"/>
    <w:rsid w:val="002A1630"/>
    <w:rsid w:val="002A1F04"/>
    <w:rsid w:val="002B0DD5"/>
    <w:rsid w:val="002B16A2"/>
    <w:rsid w:val="002B1C94"/>
    <w:rsid w:val="002B496D"/>
    <w:rsid w:val="002B54E8"/>
    <w:rsid w:val="002B785E"/>
    <w:rsid w:val="002C18AB"/>
    <w:rsid w:val="002C4EA0"/>
    <w:rsid w:val="002C52E5"/>
    <w:rsid w:val="002C556C"/>
    <w:rsid w:val="002C6124"/>
    <w:rsid w:val="002D3A57"/>
    <w:rsid w:val="002D578D"/>
    <w:rsid w:val="002D6673"/>
    <w:rsid w:val="002D7981"/>
    <w:rsid w:val="002D7FC6"/>
    <w:rsid w:val="002E3C4F"/>
    <w:rsid w:val="002E6727"/>
    <w:rsid w:val="002F22F5"/>
    <w:rsid w:val="002F31E4"/>
    <w:rsid w:val="002F3280"/>
    <w:rsid w:val="002F547C"/>
    <w:rsid w:val="002F5A80"/>
    <w:rsid w:val="00300483"/>
    <w:rsid w:val="00302023"/>
    <w:rsid w:val="003032C3"/>
    <w:rsid w:val="00304F4D"/>
    <w:rsid w:val="00305EDF"/>
    <w:rsid w:val="00306109"/>
    <w:rsid w:val="003062DB"/>
    <w:rsid w:val="00310661"/>
    <w:rsid w:val="003112D5"/>
    <w:rsid w:val="00311316"/>
    <w:rsid w:val="00311F2B"/>
    <w:rsid w:val="00314F9A"/>
    <w:rsid w:val="00315473"/>
    <w:rsid w:val="00321D7C"/>
    <w:rsid w:val="00323DC4"/>
    <w:rsid w:val="003242AE"/>
    <w:rsid w:val="00330BB5"/>
    <w:rsid w:val="003369DD"/>
    <w:rsid w:val="00337431"/>
    <w:rsid w:val="00337672"/>
    <w:rsid w:val="003527CB"/>
    <w:rsid w:val="00355F30"/>
    <w:rsid w:val="00357CD2"/>
    <w:rsid w:val="003605CD"/>
    <w:rsid w:val="00364E09"/>
    <w:rsid w:val="003651D6"/>
    <w:rsid w:val="00367B42"/>
    <w:rsid w:val="00372730"/>
    <w:rsid w:val="003743E8"/>
    <w:rsid w:val="00375ECC"/>
    <w:rsid w:val="00380EA0"/>
    <w:rsid w:val="00381D98"/>
    <w:rsid w:val="00381FFA"/>
    <w:rsid w:val="00382B0C"/>
    <w:rsid w:val="00384ACF"/>
    <w:rsid w:val="003858FD"/>
    <w:rsid w:val="00386444"/>
    <w:rsid w:val="00391884"/>
    <w:rsid w:val="00393E7E"/>
    <w:rsid w:val="00394DF6"/>
    <w:rsid w:val="003A35E9"/>
    <w:rsid w:val="003A4D66"/>
    <w:rsid w:val="003A4F15"/>
    <w:rsid w:val="003A52D3"/>
    <w:rsid w:val="003A6687"/>
    <w:rsid w:val="003A6736"/>
    <w:rsid w:val="003B2BFB"/>
    <w:rsid w:val="003B6002"/>
    <w:rsid w:val="003C4773"/>
    <w:rsid w:val="003C4A68"/>
    <w:rsid w:val="003C774C"/>
    <w:rsid w:val="003D1059"/>
    <w:rsid w:val="003D13EA"/>
    <w:rsid w:val="003D1FB9"/>
    <w:rsid w:val="003D29D1"/>
    <w:rsid w:val="003D6B37"/>
    <w:rsid w:val="003E2A95"/>
    <w:rsid w:val="003E2D3F"/>
    <w:rsid w:val="003E3814"/>
    <w:rsid w:val="003E5924"/>
    <w:rsid w:val="003E7B41"/>
    <w:rsid w:val="003F2D9D"/>
    <w:rsid w:val="003F4D46"/>
    <w:rsid w:val="004054F5"/>
    <w:rsid w:val="004116EF"/>
    <w:rsid w:val="00411F04"/>
    <w:rsid w:val="00413094"/>
    <w:rsid w:val="0041332B"/>
    <w:rsid w:val="00413D58"/>
    <w:rsid w:val="00414C80"/>
    <w:rsid w:val="00420145"/>
    <w:rsid w:val="00420992"/>
    <w:rsid w:val="004210B1"/>
    <w:rsid w:val="004230F7"/>
    <w:rsid w:val="004233E9"/>
    <w:rsid w:val="00425265"/>
    <w:rsid w:val="004304DA"/>
    <w:rsid w:val="00431CB8"/>
    <w:rsid w:val="00432731"/>
    <w:rsid w:val="00433C9F"/>
    <w:rsid w:val="00433F09"/>
    <w:rsid w:val="0043405A"/>
    <w:rsid w:val="00435CE1"/>
    <w:rsid w:val="00440582"/>
    <w:rsid w:val="00441C83"/>
    <w:rsid w:val="004434AC"/>
    <w:rsid w:val="004449A1"/>
    <w:rsid w:val="00444ABD"/>
    <w:rsid w:val="00445582"/>
    <w:rsid w:val="0044643A"/>
    <w:rsid w:val="0044670A"/>
    <w:rsid w:val="004538BA"/>
    <w:rsid w:val="00461780"/>
    <w:rsid w:val="004635C8"/>
    <w:rsid w:val="004650FD"/>
    <w:rsid w:val="00465DC4"/>
    <w:rsid w:val="00466B6F"/>
    <w:rsid w:val="00467BB2"/>
    <w:rsid w:val="00474950"/>
    <w:rsid w:val="0047531A"/>
    <w:rsid w:val="0047604C"/>
    <w:rsid w:val="00481F1F"/>
    <w:rsid w:val="00483D98"/>
    <w:rsid w:val="00483E05"/>
    <w:rsid w:val="00485926"/>
    <w:rsid w:val="00487382"/>
    <w:rsid w:val="004915CE"/>
    <w:rsid w:val="0049301D"/>
    <w:rsid w:val="004949BC"/>
    <w:rsid w:val="004959C9"/>
    <w:rsid w:val="004A0962"/>
    <w:rsid w:val="004A3E75"/>
    <w:rsid w:val="004A4D04"/>
    <w:rsid w:val="004A4D29"/>
    <w:rsid w:val="004A5377"/>
    <w:rsid w:val="004A62EB"/>
    <w:rsid w:val="004A780E"/>
    <w:rsid w:val="004B046E"/>
    <w:rsid w:val="004B0B62"/>
    <w:rsid w:val="004B3A25"/>
    <w:rsid w:val="004B540B"/>
    <w:rsid w:val="004B667C"/>
    <w:rsid w:val="004B6738"/>
    <w:rsid w:val="004C07CA"/>
    <w:rsid w:val="004C2A7B"/>
    <w:rsid w:val="004C3F96"/>
    <w:rsid w:val="004C5D83"/>
    <w:rsid w:val="004C5F04"/>
    <w:rsid w:val="004E14FE"/>
    <w:rsid w:val="004E20E1"/>
    <w:rsid w:val="004E42DD"/>
    <w:rsid w:val="004E5311"/>
    <w:rsid w:val="004E5B8C"/>
    <w:rsid w:val="004E60A2"/>
    <w:rsid w:val="004E6A34"/>
    <w:rsid w:val="004F0798"/>
    <w:rsid w:val="004F0D83"/>
    <w:rsid w:val="004F3A3B"/>
    <w:rsid w:val="004F54D9"/>
    <w:rsid w:val="004F5652"/>
    <w:rsid w:val="004F76A9"/>
    <w:rsid w:val="004F7CB6"/>
    <w:rsid w:val="005013E0"/>
    <w:rsid w:val="00503BDC"/>
    <w:rsid w:val="00510DB0"/>
    <w:rsid w:val="00511EDD"/>
    <w:rsid w:val="00513767"/>
    <w:rsid w:val="00513A0B"/>
    <w:rsid w:val="00516CF5"/>
    <w:rsid w:val="00517557"/>
    <w:rsid w:val="005212A0"/>
    <w:rsid w:val="00522EBD"/>
    <w:rsid w:val="00523621"/>
    <w:rsid w:val="00524953"/>
    <w:rsid w:val="005303AD"/>
    <w:rsid w:val="0053402A"/>
    <w:rsid w:val="005346A9"/>
    <w:rsid w:val="005349F7"/>
    <w:rsid w:val="00534FB9"/>
    <w:rsid w:val="0053609D"/>
    <w:rsid w:val="005372C1"/>
    <w:rsid w:val="00540A7F"/>
    <w:rsid w:val="00543380"/>
    <w:rsid w:val="005440C5"/>
    <w:rsid w:val="005453C6"/>
    <w:rsid w:val="00551A97"/>
    <w:rsid w:val="00555AF1"/>
    <w:rsid w:val="00556023"/>
    <w:rsid w:val="0055647F"/>
    <w:rsid w:val="00557124"/>
    <w:rsid w:val="005600BA"/>
    <w:rsid w:val="00560559"/>
    <w:rsid w:val="0056082D"/>
    <w:rsid w:val="005635B2"/>
    <w:rsid w:val="0056538A"/>
    <w:rsid w:val="00566739"/>
    <w:rsid w:val="0056744F"/>
    <w:rsid w:val="00570237"/>
    <w:rsid w:val="005707A8"/>
    <w:rsid w:val="0057305E"/>
    <w:rsid w:val="00573680"/>
    <w:rsid w:val="00573853"/>
    <w:rsid w:val="00573A40"/>
    <w:rsid w:val="0058047F"/>
    <w:rsid w:val="005943EE"/>
    <w:rsid w:val="00594879"/>
    <w:rsid w:val="00596904"/>
    <w:rsid w:val="00596FFD"/>
    <w:rsid w:val="00597CF0"/>
    <w:rsid w:val="005A021A"/>
    <w:rsid w:val="005A1EFF"/>
    <w:rsid w:val="005A201A"/>
    <w:rsid w:val="005A30B9"/>
    <w:rsid w:val="005B22D2"/>
    <w:rsid w:val="005B6505"/>
    <w:rsid w:val="005C0F85"/>
    <w:rsid w:val="005C2457"/>
    <w:rsid w:val="005C3851"/>
    <w:rsid w:val="005C3F39"/>
    <w:rsid w:val="005C4CD2"/>
    <w:rsid w:val="005C4D7D"/>
    <w:rsid w:val="005C4F75"/>
    <w:rsid w:val="005C5A43"/>
    <w:rsid w:val="005C649A"/>
    <w:rsid w:val="005D1164"/>
    <w:rsid w:val="005D6D8C"/>
    <w:rsid w:val="005E05C9"/>
    <w:rsid w:val="005E4A5F"/>
    <w:rsid w:val="005E6020"/>
    <w:rsid w:val="005F2F9F"/>
    <w:rsid w:val="006027A5"/>
    <w:rsid w:val="00605024"/>
    <w:rsid w:val="0060727B"/>
    <w:rsid w:val="006117BF"/>
    <w:rsid w:val="00611D21"/>
    <w:rsid w:val="00612C5E"/>
    <w:rsid w:val="00613073"/>
    <w:rsid w:val="00615951"/>
    <w:rsid w:val="0061608C"/>
    <w:rsid w:val="0062161A"/>
    <w:rsid w:val="006234C8"/>
    <w:rsid w:val="006237DD"/>
    <w:rsid w:val="00624CAD"/>
    <w:rsid w:val="00625110"/>
    <w:rsid w:val="006303DE"/>
    <w:rsid w:val="00630E22"/>
    <w:rsid w:val="0063507C"/>
    <w:rsid w:val="00636767"/>
    <w:rsid w:val="00650A25"/>
    <w:rsid w:val="006528D3"/>
    <w:rsid w:val="00655714"/>
    <w:rsid w:val="0066049A"/>
    <w:rsid w:val="00661F38"/>
    <w:rsid w:val="006634A3"/>
    <w:rsid w:val="00671F6A"/>
    <w:rsid w:val="00674BCD"/>
    <w:rsid w:val="0068600D"/>
    <w:rsid w:val="006870C2"/>
    <w:rsid w:val="00691978"/>
    <w:rsid w:val="006936B2"/>
    <w:rsid w:val="00693C10"/>
    <w:rsid w:val="006A281B"/>
    <w:rsid w:val="006A3F19"/>
    <w:rsid w:val="006B0C67"/>
    <w:rsid w:val="006B28AE"/>
    <w:rsid w:val="006B3456"/>
    <w:rsid w:val="006B470C"/>
    <w:rsid w:val="006C057D"/>
    <w:rsid w:val="006C0908"/>
    <w:rsid w:val="006C1FB0"/>
    <w:rsid w:val="006C4171"/>
    <w:rsid w:val="006C5338"/>
    <w:rsid w:val="006C5D96"/>
    <w:rsid w:val="006D390F"/>
    <w:rsid w:val="006D472F"/>
    <w:rsid w:val="006D47CC"/>
    <w:rsid w:val="006E09B8"/>
    <w:rsid w:val="006E2DE0"/>
    <w:rsid w:val="006E4E7A"/>
    <w:rsid w:val="006E562A"/>
    <w:rsid w:val="006E6105"/>
    <w:rsid w:val="006F2132"/>
    <w:rsid w:val="006F2A1A"/>
    <w:rsid w:val="006F2E2F"/>
    <w:rsid w:val="006F57D6"/>
    <w:rsid w:val="00703EDB"/>
    <w:rsid w:val="0070742B"/>
    <w:rsid w:val="00707A9E"/>
    <w:rsid w:val="00710666"/>
    <w:rsid w:val="00710BBF"/>
    <w:rsid w:val="00713225"/>
    <w:rsid w:val="00714CE4"/>
    <w:rsid w:val="0072032D"/>
    <w:rsid w:val="00722176"/>
    <w:rsid w:val="00723700"/>
    <w:rsid w:val="00727C21"/>
    <w:rsid w:val="00730F3E"/>
    <w:rsid w:val="007320D6"/>
    <w:rsid w:val="00732204"/>
    <w:rsid w:val="00732FFB"/>
    <w:rsid w:val="007363F4"/>
    <w:rsid w:val="007365A6"/>
    <w:rsid w:val="00736F87"/>
    <w:rsid w:val="00737EF6"/>
    <w:rsid w:val="00740848"/>
    <w:rsid w:val="00742865"/>
    <w:rsid w:val="00745F20"/>
    <w:rsid w:val="007502EC"/>
    <w:rsid w:val="00750F47"/>
    <w:rsid w:val="00750F99"/>
    <w:rsid w:val="00753F12"/>
    <w:rsid w:val="0075580A"/>
    <w:rsid w:val="0077120E"/>
    <w:rsid w:val="0077312B"/>
    <w:rsid w:val="00773A81"/>
    <w:rsid w:val="00773ABD"/>
    <w:rsid w:val="00774F27"/>
    <w:rsid w:val="00780F5B"/>
    <w:rsid w:val="00781CE0"/>
    <w:rsid w:val="007837C7"/>
    <w:rsid w:val="00786F1C"/>
    <w:rsid w:val="00792D0D"/>
    <w:rsid w:val="00794893"/>
    <w:rsid w:val="00797782"/>
    <w:rsid w:val="00797BF6"/>
    <w:rsid w:val="007A0B56"/>
    <w:rsid w:val="007A1C53"/>
    <w:rsid w:val="007A22DC"/>
    <w:rsid w:val="007A2CD4"/>
    <w:rsid w:val="007A3B80"/>
    <w:rsid w:val="007A4463"/>
    <w:rsid w:val="007A7EB4"/>
    <w:rsid w:val="007B0C88"/>
    <w:rsid w:val="007B1913"/>
    <w:rsid w:val="007B6911"/>
    <w:rsid w:val="007B7631"/>
    <w:rsid w:val="007B7B56"/>
    <w:rsid w:val="007B7DFD"/>
    <w:rsid w:val="007C0296"/>
    <w:rsid w:val="007C07BA"/>
    <w:rsid w:val="007D1470"/>
    <w:rsid w:val="007D4948"/>
    <w:rsid w:val="007E1F3E"/>
    <w:rsid w:val="007E41BE"/>
    <w:rsid w:val="007E5588"/>
    <w:rsid w:val="007F374C"/>
    <w:rsid w:val="007F3A02"/>
    <w:rsid w:val="007F7328"/>
    <w:rsid w:val="007F7E52"/>
    <w:rsid w:val="00805103"/>
    <w:rsid w:val="0081213D"/>
    <w:rsid w:val="00812E24"/>
    <w:rsid w:val="00813D53"/>
    <w:rsid w:val="00815C46"/>
    <w:rsid w:val="008200DC"/>
    <w:rsid w:val="00821369"/>
    <w:rsid w:val="00826864"/>
    <w:rsid w:val="00826868"/>
    <w:rsid w:val="008268FD"/>
    <w:rsid w:val="00832F3A"/>
    <w:rsid w:val="008344A8"/>
    <w:rsid w:val="00840C0A"/>
    <w:rsid w:val="0084335A"/>
    <w:rsid w:val="008439B2"/>
    <w:rsid w:val="00846D2A"/>
    <w:rsid w:val="00846E1F"/>
    <w:rsid w:val="00851A31"/>
    <w:rsid w:val="008569A0"/>
    <w:rsid w:val="0085781E"/>
    <w:rsid w:val="008643F3"/>
    <w:rsid w:val="00866207"/>
    <w:rsid w:val="00866BAB"/>
    <w:rsid w:val="00871322"/>
    <w:rsid w:val="008734D4"/>
    <w:rsid w:val="008758D2"/>
    <w:rsid w:val="008804D7"/>
    <w:rsid w:val="00885E57"/>
    <w:rsid w:val="008865E7"/>
    <w:rsid w:val="00892EC6"/>
    <w:rsid w:val="00897538"/>
    <w:rsid w:val="008A1054"/>
    <w:rsid w:val="008A2061"/>
    <w:rsid w:val="008A3952"/>
    <w:rsid w:val="008B1A19"/>
    <w:rsid w:val="008B2B4E"/>
    <w:rsid w:val="008B3219"/>
    <w:rsid w:val="008B4F91"/>
    <w:rsid w:val="008B5458"/>
    <w:rsid w:val="008B74F0"/>
    <w:rsid w:val="008C0E74"/>
    <w:rsid w:val="008C1C16"/>
    <w:rsid w:val="008C31CC"/>
    <w:rsid w:val="008C5EE6"/>
    <w:rsid w:val="008D4352"/>
    <w:rsid w:val="008D4BCA"/>
    <w:rsid w:val="008D74F3"/>
    <w:rsid w:val="008D79B5"/>
    <w:rsid w:val="008E3C2C"/>
    <w:rsid w:val="008E3DDC"/>
    <w:rsid w:val="008E4F77"/>
    <w:rsid w:val="008F10AE"/>
    <w:rsid w:val="008F1B4E"/>
    <w:rsid w:val="008F1BDC"/>
    <w:rsid w:val="008F1EC7"/>
    <w:rsid w:val="008F26D2"/>
    <w:rsid w:val="008F3F9C"/>
    <w:rsid w:val="008F7397"/>
    <w:rsid w:val="00900167"/>
    <w:rsid w:val="00900DC5"/>
    <w:rsid w:val="00907459"/>
    <w:rsid w:val="0091009F"/>
    <w:rsid w:val="0091245E"/>
    <w:rsid w:val="009233A1"/>
    <w:rsid w:val="00923E96"/>
    <w:rsid w:val="00924731"/>
    <w:rsid w:val="00926A11"/>
    <w:rsid w:val="00927802"/>
    <w:rsid w:val="0093080F"/>
    <w:rsid w:val="009338F7"/>
    <w:rsid w:val="00934017"/>
    <w:rsid w:val="00934209"/>
    <w:rsid w:val="009342BA"/>
    <w:rsid w:val="00936DE3"/>
    <w:rsid w:val="0094170F"/>
    <w:rsid w:val="00945996"/>
    <w:rsid w:val="009479AD"/>
    <w:rsid w:val="009519DC"/>
    <w:rsid w:val="00956652"/>
    <w:rsid w:val="00960661"/>
    <w:rsid w:val="00962087"/>
    <w:rsid w:val="009636F2"/>
    <w:rsid w:val="009716BB"/>
    <w:rsid w:val="009751DB"/>
    <w:rsid w:val="00975B51"/>
    <w:rsid w:val="00977050"/>
    <w:rsid w:val="009857C8"/>
    <w:rsid w:val="0098F9A1"/>
    <w:rsid w:val="009910AD"/>
    <w:rsid w:val="00994D19"/>
    <w:rsid w:val="00996AE6"/>
    <w:rsid w:val="00996BAA"/>
    <w:rsid w:val="00996D6F"/>
    <w:rsid w:val="009A125A"/>
    <w:rsid w:val="009A1AE7"/>
    <w:rsid w:val="009A3F0A"/>
    <w:rsid w:val="009A5962"/>
    <w:rsid w:val="009A6E2C"/>
    <w:rsid w:val="009A77C9"/>
    <w:rsid w:val="009B5137"/>
    <w:rsid w:val="009B5C06"/>
    <w:rsid w:val="009C37F2"/>
    <w:rsid w:val="009C5FA9"/>
    <w:rsid w:val="009C755C"/>
    <w:rsid w:val="009D0279"/>
    <w:rsid w:val="009D3854"/>
    <w:rsid w:val="009D58C8"/>
    <w:rsid w:val="009D6CDC"/>
    <w:rsid w:val="009E02F3"/>
    <w:rsid w:val="009E0C4C"/>
    <w:rsid w:val="009E12D0"/>
    <w:rsid w:val="009E2EB0"/>
    <w:rsid w:val="009E33F3"/>
    <w:rsid w:val="009E3E6A"/>
    <w:rsid w:val="009E4483"/>
    <w:rsid w:val="009E4D9B"/>
    <w:rsid w:val="009F0C48"/>
    <w:rsid w:val="009F1A14"/>
    <w:rsid w:val="009F26D2"/>
    <w:rsid w:val="009F6D21"/>
    <w:rsid w:val="00A019DA"/>
    <w:rsid w:val="00A071DB"/>
    <w:rsid w:val="00A1079E"/>
    <w:rsid w:val="00A1089A"/>
    <w:rsid w:val="00A10955"/>
    <w:rsid w:val="00A117D4"/>
    <w:rsid w:val="00A1381A"/>
    <w:rsid w:val="00A13A9D"/>
    <w:rsid w:val="00A20074"/>
    <w:rsid w:val="00A212B4"/>
    <w:rsid w:val="00A23022"/>
    <w:rsid w:val="00A2341E"/>
    <w:rsid w:val="00A24F84"/>
    <w:rsid w:val="00A250DF"/>
    <w:rsid w:val="00A25A56"/>
    <w:rsid w:val="00A262A7"/>
    <w:rsid w:val="00A2644D"/>
    <w:rsid w:val="00A27129"/>
    <w:rsid w:val="00A27BC1"/>
    <w:rsid w:val="00A27C0A"/>
    <w:rsid w:val="00A3299E"/>
    <w:rsid w:val="00A336F5"/>
    <w:rsid w:val="00A36F0E"/>
    <w:rsid w:val="00A4025C"/>
    <w:rsid w:val="00A40780"/>
    <w:rsid w:val="00A40AF8"/>
    <w:rsid w:val="00A51275"/>
    <w:rsid w:val="00A51DEE"/>
    <w:rsid w:val="00A609B7"/>
    <w:rsid w:val="00A60A50"/>
    <w:rsid w:val="00A60ECA"/>
    <w:rsid w:val="00A61D6D"/>
    <w:rsid w:val="00A6223D"/>
    <w:rsid w:val="00A622BA"/>
    <w:rsid w:val="00A62C8B"/>
    <w:rsid w:val="00A63BDE"/>
    <w:rsid w:val="00A71EF3"/>
    <w:rsid w:val="00A72667"/>
    <w:rsid w:val="00A72836"/>
    <w:rsid w:val="00A76794"/>
    <w:rsid w:val="00A776BB"/>
    <w:rsid w:val="00A90066"/>
    <w:rsid w:val="00A93054"/>
    <w:rsid w:val="00AA133B"/>
    <w:rsid w:val="00AA5085"/>
    <w:rsid w:val="00AB0BE2"/>
    <w:rsid w:val="00AB194A"/>
    <w:rsid w:val="00AB2C27"/>
    <w:rsid w:val="00AB6824"/>
    <w:rsid w:val="00AB7318"/>
    <w:rsid w:val="00AB7497"/>
    <w:rsid w:val="00AC0D34"/>
    <w:rsid w:val="00AC5BA6"/>
    <w:rsid w:val="00AC78B3"/>
    <w:rsid w:val="00AC794E"/>
    <w:rsid w:val="00AD208D"/>
    <w:rsid w:val="00AD40F6"/>
    <w:rsid w:val="00AD4275"/>
    <w:rsid w:val="00AD46AE"/>
    <w:rsid w:val="00AD4E94"/>
    <w:rsid w:val="00AD5A1E"/>
    <w:rsid w:val="00AD6246"/>
    <w:rsid w:val="00AD765E"/>
    <w:rsid w:val="00AE07E8"/>
    <w:rsid w:val="00AE140C"/>
    <w:rsid w:val="00AE1994"/>
    <w:rsid w:val="00AE2052"/>
    <w:rsid w:val="00AE27B3"/>
    <w:rsid w:val="00AF143F"/>
    <w:rsid w:val="00AF208E"/>
    <w:rsid w:val="00AF37D8"/>
    <w:rsid w:val="00B00507"/>
    <w:rsid w:val="00B031DC"/>
    <w:rsid w:val="00B047F4"/>
    <w:rsid w:val="00B07698"/>
    <w:rsid w:val="00B208CF"/>
    <w:rsid w:val="00B230E2"/>
    <w:rsid w:val="00B31D5C"/>
    <w:rsid w:val="00B33C7E"/>
    <w:rsid w:val="00B345EA"/>
    <w:rsid w:val="00B50E28"/>
    <w:rsid w:val="00B54C86"/>
    <w:rsid w:val="00B57C1F"/>
    <w:rsid w:val="00B57D14"/>
    <w:rsid w:val="00B62715"/>
    <w:rsid w:val="00B6295C"/>
    <w:rsid w:val="00B653C2"/>
    <w:rsid w:val="00B65C33"/>
    <w:rsid w:val="00B704C7"/>
    <w:rsid w:val="00B71950"/>
    <w:rsid w:val="00B72F8B"/>
    <w:rsid w:val="00B76687"/>
    <w:rsid w:val="00B82E41"/>
    <w:rsid w:val="00B846BF"/>
    <w:rsid w:val="00B84B87"/>
    <w:rsid w:val="00B84D5D"/>
    <w:rsid w:val="00B84EFE"/>
    <w:rsid w:val="00B85437"/>
    <w:rsid w:val="00B860D9"/>
    <w:rsid w:val="00B863C4"/>
    <w:rsid w:val="00B86D2A"/>
    <w:rsid w:val="00B904C4"/>
    <w:rsid w:val="00B905DC"/>
    <w:rsid w:val="00B91812"/>
    <w:rsid w:val="00B9346A"/>
    <w:rsid w:val="00BA0114"/>
    <w:rsid w:val="00BA61C7"/>
    <w:rsid w:val="00BA7D84"/>
    <w:rsid w:val="00BB5BB2"/>
    <w:rsid w:val="00BB7A38"/>
    <w:rsid w:val="00BB7EE2"/>
    <w:rsid w:val="00BC1638"/>
    <w:rsid w:val="00BC2D95"/>
    <w:rsid w:val="00BC31BD"/>
    <w:rsid w:val="00BC36BD"/>
    <w:rsid w:val="00BC5CBA"/>
    <w:rsid w:val="00BC7E7B"/>
    <w:rsid w:val="00BD27A7"/>
    <w:rsid w:val="00BD2F20"/>
    <w:rsid w:val="00BD50D8"/>
    <w:rsid w:val="00BD62D9"/>
    <w:rsid w:val="00BD66C4"/>
    <w:rsid w:val="00BD7BAD"/>
    <w:rsid w:val="00BE1734"/>
    <w:rsid w:val="00BE2244"/>
    <w:rsid w:val="00BE48E2"/>
    <w:rsid w:val="00BE63B0"/>
    <w:rsid w:val="00BF0ED3"/>
    <w:rsid w:val="00BF1474"/>
    <w:rsid w:val="00BF3330"/>
    <w:rsid w:val="00BF513F"/>
    <w:rsid w:val="00BF68CE"/>
    <w:rsid w:val="00BF7561"/>
    <w:rsid w:val="00C0098A"/>
    <w:rsid w:val="00C0133A"/>
    <w:rsid w:val="00C0351A"/>
    <w:rsid w:val="00C04D6E"/>
    <w:rsid w:val="00C05398"/>
    <w:rsid w:val="00C075A3"/>
    <w:rsid w:val="00C1027A"/>
    <w:rsid w:val="00C103BE"/>
    <w:rsid w:val="00C118C1"/>
    <w:rsid w:val="00C14024"/>
    <w:rsid w:val="00C1426E"/>
    <w:rsid w:val="00C202FF"/>
    <w:rsid w:val="00C212F4"/>
    <w:rsid w:val="00C22A51"/>
    <w:rsid w:val="00C268A8"/>
    <w:rsid w:val="00C301F0"/>
    <w:rsid w:val="00C33164"/>
    <w:rsid w:val="00C33E29"/>
    <w:rsid w:val="00C34C8A"/>
    <w:rsid w:val="00C35629"/>
    <w:rsid w:val="00C35C09"/>
    <w:rsid w:val="00C35C93"/>
    <w:rsid w:val="00C36893"/>
    <w:rsid w:val="00C40928"/>
    <w:rsid w:val="00C41008"/>
    <w:rsid w:val="00C44B5A"/>
    <w:rsid w:val="00C454BB"/>
    <w:rsid w:val="00C45690"/>
    <w:rsid w:val="00C47382"/>
    <w:rsid w:val="00C50B20"/>
    <w:rsid w:val="00C5252B"/>
    <w:rsid w:val="00C52C78"/>
    <w:rsid w:val="00C5395E"/>
    <w:rsid w:val="00C5408C"/>
    <w:rsid w:val="00C54610"/>
    <w:rsid w:val="00C546E3"/>
    <w:rsid w:val="00C56BD2"/>
    <w:rsid w:val="00C600D8"/>
    <w:rsid w:val="00C602E8"/>
    <w:rsid w:val="00C60F38"/>
    <w:rsid w:val="00C63EE1"/>
    <w:rsid w:val="00C64C39"/>
    <w:rsid w:val="00C64E43"/>
    <w:rsid w:val="00C65ABF"/>
    <w:rsid w:val="00C668D6"/>
    <w:rsid w:val="00C711E6"/>
    <w:rsid w:val="00C726BF"/>
    <w:rsid w:val="00C73889"/>
    <w:rsid w:val="00C87DAF"/>
    <w:rsid w:val="00C9192C"/>
    <w:rsid w:val="00C91A0F"/>
    <w:rsid w:val="00C94651"/>
    <w:rsid w:val="00C9526B"/>
    <w:rsid w:val="00C95584"/>
    <w:rsid w:val="00CA0BED"/>
    <w:rsid w:val="00CB0592"/>
    <w:rsid w:val="00CB0A63"/>
    <w:rsid w:val="00CB1213"/>
    <w:rsid w:val="00CB1A35"/>
    <w:rsid w:val="00CB7FB7"/>
    <w:rsid w:val="00CC03D5"/>
    <w:rsid w:val="00CC2B87"/>
    <w:rsid w:val="00CC45B0"/>
    <w:rsid w:val="00CD45E1"/>
    <w:rsid w:val="00CD496A"/>
    <w:rsid w:val="00CD616A"/>
    <w:rsid w:val="00CF030C"/>
    <w:rsid w:val="00CF04F3"/>
    <w:rsid w:val="00CF0A63"/>
    <w:rsid w:val="00CF21EE"/>
    <w:rsid w:val="00CF3BDB"/>
    <w:rsid w:val="00CF558B"/>
    <w:rsid w:val="00CF62AF"/>
    <w:rsid w:val="00CF72D2"/>
    <w:rsid w:val="00D002CB"/>
    <w:rsid w:val="00D009E9"/>
    <w:rsid w:val="00D0502C"/>
    <w:rsid w:val="00D06D3C"/>
    <w:rsid w:val="00D072D7"/>
    <w:rsid w:val="00D120C1"/>
    <w:rsid w:val="00D13A20"/>
    <w:rsid w:val="00D24188"/>
    <w:rsid w:val="00D32E4C"/>
    <w:rsid w:val="00D34217"/>
    <w:rsid w:val="00D36693"/>
    <w:rsid w:val="00D400F9"/>
    <w:rsid w:val="00D44CF0"/>
    <w:rsid w:val="00D4551C"/>
    <w:rsid w:val="00D52711"/>
    <w:rsid w:val="00D52DB0"/>
    <w:rsid w:val="00D56C98"/>
    <w:rsid w:val="00D570B3"/>
    <w:rsid w:val="00D603D0"/>
    <w:rsid w:val="00D60EEE"/>
    <w:rsid w:val="00D64511"/>
    <w:rsid w:val="00D67F91"/>
    <w:rsid w:val="00D73192"/>
    <w:rsid w:val="00D74EB8"/>
    <w:rsid w:val="00D92B93"/>
    <w:rsid w:val="00D9483A"/>
    <w:rsid w:val="00D97A91"/>
    <w:rsid w:val="00DA03EA"/>
    <w:rsid w:val="00DA2190"/>
    <w:rsid w:val="00DB0878"/>
    <w:rsid w:val="00DB4C11"/>
    <w:rsid w:val="00DC2047"/>
    <w:rsid w:val="00DC41B9"/>
    <w:rsid w:val="00DC430F"/>
    <w:rsid w:val="00DC51B8"/>
    <w:rsid w:val="00DC524D"/>
    <w:rsid w:val="00DC57B7"/>
    <w:rsid w:val="00DC733B"/>
    <w:rsid w:val="00DC7483"/>
    <w:rsid w:val="00DD51FE"/>
    <w:rsid w:val="00DD76D7"/>
    <w:rsid w:val="00DE124B"/>
    <w:rsid w:val="00DE7A47"/>
    <w:rsid w:val="00DF166B"/>
    <w:rsid w:val="00DF22F9"/>
    <w:rsid w:val="00DF29E8"/>
    <w:rsid w:val="00DF2B09"/>
    <w:rsid w:val="00DF41CE"/>
    <w:rsid w:val="00DF4DF0"/>
    <w:rsid w:val="00DF5EE4"/>
    <w:rsid w:val="00DF621D"/>
    <w:rsid w:val="00E02EDB"/>
    <w:rsid w:val="00E02FBE"/>
    <w:rsid w:val="00E03FF5"/>
    <w:rsid w:val="00E04E21"/>
    <w:rsid w:val="00E112BC"/>
    <w:rsid w:val="00E12622"/>
    <w:rsid w:val="00E15EE1"/>
    <w:rsid w:val="00E1659A"/>
    <w:rsid w:val="00E20530"/>
    <w:rsid w:val="00E20A4B"/>
    <w:rsid w:val="00E23049"/>
    <w:rsid w:val="00E270E0"/>
    <w:rsid w:val="00E27296"/>
    <w:rsid w:val="00E27596"/>
    <w:rsid w:val="00E27977"/>
    <w:rsid w:val="00E31B58"/>
    <w:rsid w:val="00E32338"/>
    <w:rsid w:val="00E337FD"/>
    <w:rsid w:val="00E46FD9"/>
    <w:rsid w:val="00E47F6F"/>
    <w:rsid w:val="00E50443"/>
    <w:rsid w:val="00E516F8"/>
    <w:rsid w:val="00E524EC"/>
    <w:rsid w:val="00E52EC9"/>
    <w:rsid w:val="00E54278"/>
    <w:rsid w:val="00E559A7"/>
    <w:rsid w:val="00E55F72"/>
    <w:rsid w:val="00E5751C"/>
    <w:rsid w:val="00E626B4"/>
    <w:rsid w:val="00E62BE8"/>
    <w:rsid w:val="00E6394A"/>
    <w:rsid w:val="00E646F4"/>
    <w:rsid w:val="00E65851"/>
    <w:rsid w:val="00E72FCC"/>
    <w:rsid w:val="00E73AA3"/>
    <w:rsid w:val="00E76B39"/>
    <w:rsid w:val="00E76C33"/>
    <w:rsid w:val="00E77ED3"/>
    <w:rsid w:val="00E849F2"/>
    <w:rsid w:val="00E85BA8"/>
    <w:rsid w:val="00E9043F"/>
    <w:rsid w:val="00E93E86"/>
    <w:rsid w:val="00E9586F"/>
    <w:rsid w:val="00E96581"/>
    <w:rsid w:val="00EA07E3"/>
    <w:rsid w:val="00EA108F"/>
    <w:rsid w:val="00EA1D63"/>
    <w:rsid w:val="00EA3225"/>
    <w:rsid w:val="00EA3F64"/>
    <w:rsid w:val="00EA47F8"/>
    <w:rsid w:val="00EA7808"/>
    <w:rsid w:val="00EA78F4"/>
    <w:rsid w:val="00EB3900"/>
    <w:rsid w:val="00EB4F59"/>
    <w:rsid w:val="00EB63AB"/>
    <w:rsid w:val="00EB7162"/>
    <w:rsid w:val="00EC1423"/>
    <w:rsid w:val="00EC3157"/>
    <w:rsid w:val="00EC4D0F"/>
    <w:rsid w:val="00ED03A4"/>
    <w:rsid w:val="00ED240D"/>
    <w:rsid w:val="00ED2BA0"/>
    <w:rsid w:val="00ED2D35"/>
    <w:rsid w:val="00ED33DA"/>
    <w:rsid w:val="00ED6B3E"/>
    <w:rsid w:val="00EE0A73"/>
    <w:rsid w:val="00EE182F"/>
    <w:rsid w:val="00EE2CF5"/>
    <w:rsid w:val="00EE3426"/>
    <w:rsid w:val="00EE3E6F"/>
    <w:rsid w:val="00EE3EDC"/>
    <w:rsid w:val="00EE6111"/>
    <w:rsid w:val="00EF220C"/>
    <w:rsid w:val="00EF4552"/>
    <w:rsid w:val="00EF5234"/>
    <w:rsid w:val="00EF5355"/>
    <w:rsid w:val="00EF54EE"/>
    <w:rsid w:val="00EF634B"/>
    <w:rsid w:val="00EF73C4"/>
    <w:rsid w:val="00F00767"/>
    <w:rsid w:val="00F03E23"/>
    <w:rsid w:val="00F05D1A"/>
    <w:rsid w:val="00F06DD4"/>
    <w:rsid w:val="00F06E35"/>
    <w:rsid w:val="00F104A1"/>
    <w:rsid w:val="00F10784"/>
    <w:rsid w:val="00F112F3"/>
    <w:rsid w:val="00F11951"/>
    <w:rsid w:val="00F20481"/>
    <w:rsid w:val="00F20760"/>
    <w:rsid w:val="00F20A35"/>
    <w:rsid w:val="00F242D9"/>
    <w:rsid w:val="00F30867"/>
    <w:rsid w:val="00F34D27"/>
    <w:rsid w:val="00F371BF"/>
    <w:rsid w:val="00F432E0"/>
    <w:rsid w:val="00F46934"/>
    <w:rsid w:val="00F46FE2"/>
    <w:rsid w:val="00F47CD1"/>
    <w:rsid w:val="00F50A7D"/>
    <w:rsid w:val="00F51B53"/>
    <w:rsid w:val="00F51D93"/>
    <w:rsid w:val="00F52029"/>
    <w:rsid w:val="00F546C0"/>
    <w:rsid w:val="00F54710"/>
    <w:rsid w:val="00F601B3"/>
    <w:rsid w:val="00F63177"/>
    <w:rsid w:val="00F63F2A"/>
    <w:rsid w:val="00F6534A"/>
    <w:rsid w:val="00F6721B"/>
    <w:rsid w:val="00F73DF7"/>
    <w:rsid w:val="00F74EBC"/>
    <w:rsid w:val="00F8134E"/>
    <w:rsid w:val="00F825D0"/>
    <w:rsid w:val="00F82AD1"/>
    <w:rsid w:val="00F82D9D"/>
    <w:rsid w:val="00F868F5"/>
    <w:rsid w:val="00F86B74"/>
    <w:rsid w:val="00F92293"/>
    <w:rsid w:val="00F92734"/>
    <w:rsid w:val="00F95879"/>
    <w:rsid w:val="00FA0320"/>
    <w:rsid w:val="00FA49FA"/>
    <w:rsid w:val="00FA5167"/>
    <w:rsid w:val="00FA58D5"/>
    <w:rsid w:val="00FA5E7B"/>
    <w:rsid w:val="00FA6FEC"/>
    <w:rsid w:val="00FB15C6"/>
    <w:rsid w:val="00FB3B54"/>
    <w:rsid w:val="00FB4C71"/>
    <w:rsid w:val="00FB6429"/>
    <w:rsid w:val="00FC17BE"/>
    <w:rsid w:val="00FC1A60"/>
    <w:rsid w:val="00FC1D8C"/>
    <w:rsid w:val="00FC489B"/>
    <w:rsid w:val="00FC5C42"/>
    <w:rsid w:val="00FD4342"/>
    <w:rsid w:val="00FDA9BA"/>
    <w:rsid w:val="00FE0728"/>
    <w:rsid w:val="00FE1964"/>
    <w:rsid w:val="00FE33C6"/>
    <w:rsid w:val="00FE3473"/>
    <w:rsid w:val="00FF3D18"/>
    <w:rsid w:val="00FF4FDE"/>
    <w:rsid w:val="00FF5368"/>
    <w:rsid w:val="00FF7E5F"/>
    <w:rsid w:val="010D771F"/>
    <w:rsid w:val="01266E76"/>
    <w:rsid w:val="012793EF"/>
    <w:rsid w:val="0136D339"/>
    <w:rsid w:val="01A50AE9"/>
    <w:rsid w:val="02955D4E"/>
    <w:rsid w:val="03212F76"/>
    <w:rsid w:val="05781A20"/>
    <w:rsid w:val="05B07EF9"/>
    <w:rsid w:val="05EB2B47"/>
    <w:rsid w:val="062158DC"/>
    <w:rsid w:val="06963AAF"/>
    <w:rsid w:val="07E48274"/>
    <w:rsid w:val="08DEE691"/>
    <w:rsid w:val="08E27375"/>
    <w:rsid w:val="0917CDB9"/>
    <w:rsid w:val="0C0976F6"/>
    <w:rsid w:val="0C547A01"/>
    <w:rsid w:val="0CB084BF"/>
    <w:rsid w:val="0CCA3F0D"/>
    <w:rsid w:val="0D2707E0"/>
    <w:rsid w:val="0E37AF82"/>
    <w:rsid w:val="0E9CEBC4"/>
    <w:rsid w:val="0FB223C7"/>
    <w:rsid w:val="11396295"/>
    <w:rsid w:val="11396652"/>
    <w:rsid w:val="113CAC47"/>
    <w:rsid w:val="11A1C43D"/>
    <w:rsid w:val="11D9C885"/>
    <w:rsid w:val="12739B04"/>
    <w:rsid w:val="12C2F0D3"/>
    <w:rsid w:val="1373D6F4"/>
    <w:rsid w:val="138097D7"/>
    <w:rsid w:val="1388CC05"/>
    <w:rsid w:val="164EA0F5"/>
    <w:rsid w:val="17533D7A"/>
    <w:rsid w:val="177DDF62"/>
    <w:rsid w:val="17A865F9"/>
    <w:rsid w:val="1829BA4F"/>
    <w:rsid w:val="18435AB7"/>
    <w:rsid w:val="18920EC1"/>
    <w:rsid w:val="18E0E6BB"/>
    <w:rsid w:val="194B2B07"/>
    <w:rsid w:val="197C7D0B"/>
    <w:rsid w:val="1985C4DA"/>
    <w:rsid w:val="1A7F8631"/>
    <w:rsid w:val="1AC09A87"/>
    <w:rsid w:val="1ADDBCA0"/>
    <w:rsid w:val="1ADE9CA6"/>
    <w:rsid w:val="1AE6C0DE"/>
    <w:rsid w:val="1B0D8B96"/>
    <w:rsid w:val="1CD6913B"/>
    <w:rsid w:val="1D74F07B"/>
    <w:rsid w:val="1D8F1502"/>
    <w:rsid w:val="1F6818D0"/>
    <w:rsid w:val="1F8D7268"/>
    <w:rsid w:val="203E9DCC"/>
    <w:rsid w:val="21933998"/>
    <w:rsid w:val="2230BC16"/>
    <w:rsid w:val="225572B3"/>
    <w:rsid w:val="2334F5F3"/>
    <w:rsid w:val="236FC37A"/>
    <w:rsid w:val="239D0426"/>
    <w:rsid w:val="2457E62C"/>
    <w:rsid w:val="2464ABCC"/>
    <w:rsid w:val="2472929E"/>
    <w:rsid w:val="24B8377C"/>
    <w:rsid w:val="24C7D5B8"/>
    <w:rsid w:val="24CB2E68"/>
    <w:rsid w:val="24E481BC"/>
    <w:rsid w:val="2566251A"/>
    <w:rsid w:val="25E5B1A1"/>
    <w:rsid w:val="265446B0"/>
    <w:rsid w:val="27DD06D8"/>
    <w:rsid w:val="29134A0E"/>
    <w:rsid w:val="29F73C66"/>
    <w:rsid w:val="2C84C353"/>
    <w:rsid w:val="2CC85B6A"/>
    <w:rsid w:val="2D129BDA"/>
    <w:rsid w:val="2D5B8A01"/>
    <w:rsid w:val="2D5C42CA"/>
    <w:rsid w:val="2DA26BDD"/>
    <w:rsid w:val="2EE82642"/>
    <w:rsid w:val="2F23C8A3"/>
    <w:rsid w:val="2F66DD96"/>
    <w:rsid w:val="300FCD43"/>
    <w:rsid w:val="30B2F60F"/>
    <w:rsid w:val="310D3841"/>
    <w:rsid w:val="3197DD8F"/>
    <w:rsid w:val="31F7AE6D"/>
    <w:rsid w:val="322FCD11"/>
    <w:rsid w:val="3258C0D6"/>
    <w:rsid w:val="341B3382"/>
    <w:rsid w:val="3598CDCA"/>
    <w:rsid w:val="35A871D5"/>
    <w:rsid w:val="35E64CAA"/>
    <w:rsid w:val="3616AABB"/>
    <w:rsid w:val="364898D5"/>
    <w:rsid w:val="368A9A0E"/>
    <w:rsid w:val="36A8B63D"/>
    <w:rsid w:val="381E8260"/>
    <w:rsid w:val="38237BDD"/>
    <w:rsid w:val="3924E478"/>
    <w:rsid w:val="3A5E8D69"/>
    <w:rsid w:val="3B74AECB"/>
    <w:rsid w:val="3BFFDB08"/>
    <w:rsid w:val="3C7C89AB"/>
    <w:rsid w:val="3C847EA5"/>
    <w:rsid w:val="3D265239"/>
    <w:rsid w:val="3DBEA615"/>
    <w:rsid w:val="3E33FF15"/>
    <w:rsid w:val="3F6A8375"/>
    <w:rsid w:val="3FABBC7E"/>
    <w:rsid w:val="3FE8AF29"/>
    <w:rsid w:val="4017008C"/>
    <w:rsid w:val="40C4B72A"/>
    <w:rsid w:val="417450DA"/>
    <w:rsid w:val="41B2E2F7"/>
    <w:rsid w:val="421DF78B"/>
    <w:rsid w:val="426EE486"/>
    <w:rsid w:val="428B222A"/>
    <w:rsid w:val="42B52859"/>
    <w:rsid w:val="42F80D01"/>
    <w:rsid w:val="4327B999"/>
    <w:rsid w:val="434124B1"/>
    <w:rsid w:val="44AD4C4A"/>
    <w:rsid w:val="44B005AC"/>
    <w:rsid w:val="44D510FA"/>
    <w:rsid w:val="44E7190D"/>
    <w:rsid w:val="455809C8"/>
    <w:rsid w:val="455F250C"/>
    <w:rsid w:val="457F4BAF"/>
    <w:rsid w:val="45A63362"/>
    <w:rsid w:val="45B85284"/>
    <w:rsid w:val="45B93284"/>
    <w:rsid w:val="463F6E16"/>
    <w:rsid w:val="4674D064"/>
    <w:rsid w:val="46BEE091"/>
    <w:rsid w:val="472BF246"/>
    <w:rsid w:val="47E639FE"/>
    <w:rsid w:val="486BE7A8"/>
    <w:rsid w:val="487C4700"/>
    <w:rsid w:val="487F99DC"/>
    <w:rsid w:val="4923C7F6"/>
    <w:rsid w:val="494145FD"/>
    <w:rsid w:val="49CFF478"/>
    <w:rsid w:val="4A60D686"/>
    <w:rsid w:val="4AC1AF02"/>
    <w:rsid w:val="4C34B6C8"/>
    <w:rsid w:val="4D5FDCC6"/>
    <w:rsid w:val="4D93BA8C"/>
    <w:rsid w:val="4DC7FDDF"/>
    <w:rsid w:val="4E7405E1"/>
    <w:rsid w:val="4F13D8C4"/>
    <w:rsid w:val="4FEDFD48"/>
    <w:rsid w:val="503DECEB"/>
    <w:rsid w:val="5041BA63"/>
    <w:rsid w:val="5045D4E5"/>
    <w:rsid w:val="506CE960"/>
    <w:rsid w:val="50A4E4E4"/>
    <w:rsid w:val="50BE1BC1"/>
    <w:rsid w:val="50EA365A"/>
    <w:rsid w:val="5124997A"/>
    <w:rsid w:val="517BF0F9"/>
    <w:rsid w:val="524C192A"/>
    <w:rsid w:val="527DAA66"/>
    <w:rsid w:val="5293B84A"/>
    <w:rsid w:val="53C0017A"/>
    <w:rsid w:val="542E6015"/>
    <w:rsid w:val="5465B2C1"/>
    <w:rsid w:val="54B2307B"/>
    <w:rsid w:val="54F1BABE"/>
    <w:rsid w:val="557ECFE1"/>
    <w:rsid w:val="57718FF8"/>
    <w:rsid w:val="58C923F7"/>
    <w:rsid w:val="5A101255"/>
    <w:rsid w:val="5AF6A3C8"/>
    <w:rsid w:val="5AFF0F86"/>
    <w:rsid w:val="5BF30537"/>
    <w:rsid w:val="5C0A3291"/>
    <w:rsid w:val="5CA67DCA"/>
    <w:rsid w:val="5CCC1D43"/>
    <w:rsid w:val="5D03BBCB"/>
    <w:rsid w:val="5D882E5F"/>
    <w:rsid w:val="5DCC960E"/>
    <w:rsid w:val="5E21CB12"/>
    <w:rsid w:val="5F471AF2"/>
    <w:rsid w:val="5FF1B887"/>
    <w:rsid w:val="60794E27"/>
    <w:rsid w:val="61FC88CE"/>
    <w:rsid w:val="627ABCB3"/>
    <w:rsid w:val="6439B8D5"/>
    <w:rsid w:val="65226CE7"/>
    <w:rsid w:val="658732DA"/>
    <w:rsid w:val="65E7DC4B"/>
    <w:rsid w:val="6606EAFA"/>
    <w:rsid w:val="66A7069D"/>
    <w:rsid w:val="6720DBD3"/>
    <w:rsid w:val="676D09EF"/>
    <w:rsid w:val="67C30D90"/>
    <w:rsid w:val="6801FE8A"/>
    <w:rsid w:val="69977C5F"/>
    <w:rsid w:val="6A1E3D28"/>
    <w:rsid w:val="6A488AB6"/>
    <w:rsid w:val="6AD0A8A6"/>
    <w:rsid w:val="6B230498"/>
    <w:rsid w:val="6B42B0B1"/>
    <w:rsid w:val="6C158EC6"/>
    <w:rsid w:val="6C7C7EA1"/>
    <w:rsid w:val="6D14D363"/>
    <w:rsid w:val="6D6AE9C0"/>
    <w:rsid w:val="6F101419"/>
    <w:rsid w:val="7000A21C"/>
    <w:rsid w:val="70B7913F"/>
    <w:rsid w:val="70C05BDC"/>
    <w:rsid w:val="70FA785A"/>
    <w:rsid w:val="7121F16D"/>
    <w:rsid w:val="71C02838"/>
    <w:rsid w:val="71FBA4ED"/>
    <w:rsid w:val="72130FE1"/>
    <w:rsid w:val="727E6FD7"/>
    <w:rsid w:val="73D8E51B"/>
    <w:rsid w:val="740F3FEB"/>
    <w:rsid w:val="74DCBA74"/>
    <w:rsid w:val="7501ABD7"/>
    <w:rsid w:val="7533FF9A"/>
    <w:rsid w:val="765EAE8F"/>
    <w:rsid w:val="767E3E01"/>
    <w:rsid w:val="779EA895"/>
    <w:rsid w:val="781E8B39"/>
    <w:rsid w:val="78262D70"/>
    <w:rsid w:val="78739202"/>
    <w:rsid w:val="78A8894E"/>
    <w:rsid w:val="78D4D306"/>
    <w:rsid w:val="793FFB96"/>
    <w:rsid w:val="7A201AE3"/>
    <w:rsid w:val="7A4EC839"/>
    <w:rsid w:val="7AA651C7"/>
    <w:rsid w:val="7ACB765E"/>
    <w:rsid w:val="7B03DED9"/>
    <w:rsid w:val="7B190A98"/>
    <w:rsid w:val="7B6C42D0"/>
    <w:rsid w:val="7B9FA62B"/>
    <w:rsid w:val="7BD3742E"/>
    <w:rsid w:val="7BDB73DF"/>
    <w:rsid w:val="7CA735D9"/>
    <w:rsid w:val="7D17CE80"/>
    <w:rsid w:val="7D4AB7EB"/>
    <w:rsid w:val="7D4E3A95"/>
    <w:rsid w:val="7EEFC5AA"/>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B714"/>
  <w15:chartTrackingRefBased/>
  <w15:docId w15:val="{3767326D-EDF3-4F6D-A1F7-345D42D89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51A"/>
  </w:style>
  <w:style w:type="paragraph" w:styleId="Ttulo1">
    <w:name w:val="heading 1"/>
    <w:basedOn w:val="Normal"/>
    <w:next w:val="Normal"/>
    <w:uiPriority w:val="9"/>
    <w:qFormat/>
    <w:rsid w:val="00113A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uiPriority w:val="9"/>
    <w:semiHidden/>
    <w:unhideWhenUsed/>
    <w:qFormat/>
    <w:rsid w:val="00113A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uiPriority w:val="9"/>
    <w:semiHidden/>
    <w:unhideWhenUsed/>
    <w:qFormat/>
    <w:rsid w:val="00113AD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uiPriority w:val="9"/>
    <w:semiHidden/>
    <w:unhideWhenUsed/>
    <w:qFormat/>
    <w:rsid w:val="00113AD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uiPriority w:val="9"/>
    <w:semiHidden/>
    <w:unhideWhenUsed/>
    <w:qFormat/>
    <w:rsid w:val="00113AD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uiPriority w:val="9"/>
    <w:semiHidden/>
    <w:unhideWhenUsed/>
    <w:qFormat/>
    <w:rsid w:val="00113AD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uiPriority w:val="9"/>
    <w:semiHidden/>
    <w:unhideWhenUsed/>
    <w:qFormat/>
    <w:rsid w:val="00113AD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uiPriority w:val="9"/>
    <w:semiHidden/>
    <w:unhideWhenUsed/>
    <w:qFormat/>
    <w:rsid w:val="00113AD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uiPriority w:val="9"/>
    <w:semiHidden/>
    <w:unhideWhenUsed/>
    <w:qFormat/>
    <w:rsid w:val="00113AD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1"/>
    <w:uiPriority w:val="99"/>
    <w:semiHidden/>
    <w:unhideWhenUsed/>
    <w:rsid w:val="00F05D1A"/>
    <w:pPr>
      <w:tabs>
        <w:tab w:val="center" w:pos="4252"/>
        <w:tab w:val="right" w:pos="8504"/>
      </w:tabs>
      <w:spacing w:after="0" w:line="240" w:lineRule="auto"/>
    </w:pPr>
  </w:style>
  <w:style w:type="character" w:customStyle="1" w:styleId="EncabezadoCar1">
    <w:name w:val="Encabezado Car1"/>
    <w:basedOn w:val="Fuentedeprrafopredeter"/>
    <w:link w:val="Encabezado"/>
    <w:uiPriority w:val="99"/>
    <w:semiHidden/>
    <w:rsid w:val="00F05D1A"/>
  </w:style>
  <w:style w:type="paragraph" w:styleId="Piedepgina">
    <w:name w:val="footer"/>
    <w:basedOn w:val="Normal"/>
    <w:link w:val="PiedepginaCar1"/>
    <w:uiPriority w:val="99"/>
    <w:semiHidden/>
    <w:unhideWhenUsed/>
    <w:rsid w:val="00F05D1A"/>
    <w:pPr>
      <w:tabs>
        <w:tab w:val="center" w:pos="4252"/>
        <w:tab w:val="right" w:pos="8504"/>
      </w:tabs>
      <w:spacing w:after="0" w:line="240" w:lineRule="auto"/>
    </w:pPr>
  </w:style>
  <w:style w:type="character" w:customStyle="1" w:styleId="PiedepginaCar1">
    <w:name w:val="Pie de página Car1"/>
    <w:basedOn w:val="Fuentedeprrafopredeter"/>
    <w:link w:val="Piedepgina"/>
    <w:uiPriority w:val="99"/>
    <w:semiHidden/>
    <w:rsid w:val="00F05D1A"/>
  </w:style>
  <w:style w:type="paragraph" w:styleId="Ttulo">
    <w:name w:val="Title"/>
    <w:basedOn w:val="Normal"/>
    <w:next w:val="Normal"/>
    <w:link w:val="TtuloCar"/>
    <w:uiPriority w:val="10"/>
    <w:qFormat/>
    <w:rsid w:val="000116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A668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116F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A668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116F7"/>
    <w:pPr>
      <w:spacing w:before="160"/>
      <w:jc w:val="center"/>
    </w:pPr>
    <w:rPr>
      <w:i/>
      <w:iCs/>
      <w:color w:val="404040" w:themeColor="text1" w:themeTint="BF"/>
    </w:rPr>
  </w:style>
  <w:style w:type="character" w:customStyle="1" w:styleId="CitaCar">
    <w:name w:val="Cita Car"/>
    <w:basedOn w:val="Fuentedeprrafopredeter"/>
    <w:link w:val="Cita"/>
    <w:uiPriority w:val="29"/>
    <w:rsid w:val="003A6687"/>
    <w:rPr>
      <w:i/>
      <w:iCs/>
      <w:color w:val="404040" w:themeColor="text1" w:themeTint="BF"/>
    </w:rPr>
  </w:style>
  <w:style w:type="paragraph" w:styleId="Citadestacada">
    <w:name w:val="Intense Quote"/>
    <w:basedOn w:val="Normal"/>
    <w:next w:val="Normal"/>
    <w:link w:val="CitadestacadaCar"/>
    <w:uiPriority w:val="30"/>
    <w:qFormat/>
    <w:rsid w:val="000116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A6687"/>
    <w:rPr>
      <w:i/>
      <w:iCs/>
      <w:color w:val="0F4761" w:themeColor="accent1" w:themeShade="BF"/>
    </w:rPr>
  </w:style>
  <w:style w:type="paragraph" w:styleId="Textocomentario">
    <w:name w:val="annotation text"/>
    <w:basedOn w:val="Normal"/>
    <w:link w:val="TextocomentarioCar"/>
    <w:uiPriority w:val="99"/>
    <w:unhideWhenUsed/>
    <w:rsid w:val="000116F7"/>
    <w:pPr>
      <w:spacing w:line="240" w:lineRule="auto"/>
    </w:pPr>
    <w:rPr>
      <w:sz w:val="20"/>
      <w:szCs w:val="20"/>
    </w:rPr>
  </w:style>
  <w:style w:type="character" w:customStyle="1" w:styleId="TextocomentarioCar">
    <w:name w:val="Texto comentario Car"/>
    <w:basedOn w:val="Fuentedeprrafopredeter"/>
    <w:link w:val="Textocomentario"/>
    <w:uiPriority w:val="99"/>
    <w:rsid w:val="003A6687"/>
    <w:rPr>
      <w:sz w:val="20"/>
      <w:szCs w:val="20"/>
    </w:rPr>
  </w:style>
  <w:style w:type="paragraph" w:styleId="Asuntodelcomentario">
    <w:name w:val="annotation subject"/>
    <w:basedOn w:val="Textocomentario"/>
    <w:next w:val="Textocomentario"/>
    <w:link w:val="AsuntodelcomentarioCar"/>
    <w:uiPriority w:val="99"/>
    <w:semiHidden/>
    <w:unhideWhenUsed/>
    <w:rsid w:val="000116F7"/>
    <w:rPr>
      <w:b/>
      <w:bCs/>
    </w:rPr>
  </w:style>
  <w:style w:type="character" w:customStyle="1" w:styleId="AsuntodelcomentarioCar">
    <w:name w:val="Asunto del comentario Car"/>
    <w:basedOn w:val="TextocomentarioCar"/>
    <w:link w:val="Asuntodelcomentario"/>
    <w:uiPriority w:val="99"/>
    <w:semiHidden/>
    <w:rsid w:val="003A6687"/>
    <w:rPr>
      <w:b/>
      <w:bCs/>
      <w:sz w:val="20"/>
      <w:szCs w:val="20"/>
    </w:rPr>
  </w:style>
  <w:style w:type="paragraph" w:styleId="Prrafodelista">
    <w:name w:val="List Paragraph"/>
    <w:basedOn w:val="Normal"/>
    <w:uiPriority w:val="34"/>
    <w:qFormat/>
    <w:rsid w:val="00113AD7"/>
    <w:pPr>
      <w:ind w:left="720"/>
      <w:contextualSpacing/>
    </w:pPr>
  </w:style>
  <w:style w:type="character" w:styleId="nfasisintenso">
    <w:name w:val="Intense Emphasis"/>
    <w:basedOn w:val="Fuentedeprrafopredeter"/>
    <w:uiPriority w:val="21"/>
    <w:qFormat/>
    <w:rsid w:val="00113AD7"/>
    <w:rPr>
      <w:i/>
      <w:iCs/>
      <w:color w:val="0F4761" w:themeColor="accent1" w:themeShade="BF"/>
    </w:rPr>
  </w:style>
  <w:style w:type="character" w:styleId="Referenciaintensa">
    <w:name w:val="Intense Reference"/>
    <w:basedOn w:val="Fuentedeprrafopredeter"/>
    <w:uiPriority w:val="32"/>
    <w:qFormat/>
    <w:rsid w:val="00113AD7"/>
    <w:rPr>
      <w:b/>
      <w:bCs/>
      <w:smallCaps/>
      <w:color w:val="0F4761" w:themeColor="accent1" w:themeShade="BF"/>
      <w:spacing w:val="5"/>
    </w:rPr>
  </w:style>
  <w:style w:type="character" w:customStyle="1" w:styleId="contentpasted0">
    <w:name w:val="contentpasted0"/>
    <w:basedOn w:val="Fuentedeprrafopredeter"/>
    <w:rsid w:val="00113AD7"/>
  </w:style>
  <w:style w:type="character" w:styleId="Hipervnculo">
    <w:name w:val="Hyperlink"/>
    <w:basedOn w:val="Fuentedeprrafopredeter"/>
    <w:uiPriority w:val="99"/>
    <w:unhideWhenUsed/>
    <w:rsid w:val="00D400F9"/>
    <w:rPr>
      <w:color w:val="0000FF"/>
      <w:u w:val="single"/>
    </w:rPr>
  </w:style>
  <w:style w:type="table" w:styleId="Tablaconcuadrcula">
    <w:name w:val="Table Grid"/>
    <w:basedOn w:val="Tablanormal"/>
    <w:uiPriority w:val="39"/>
    <w:rsid w:val="00D400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F0A63"/>
    <w:rPr>
      <w:rFonts w:ascii="Times New Roman" w:hAnsi="Times New Roman" w:cs="Times New Roman"/>
      <w:sz w:val="24"/>
      <w:szCs w:val="24"/>
    </w:rPr>
  </w:style>
  <w:style w:type="character" w:styleId="Refdecomentario">
    <w:name w:val="annotation reference"/>
    <w:basedOn w:val="Fuentedeprrafopredeter"/>
    <w:uiPriority w:val="99"/>
    <w:semiHidden/>
    <w:unhideWhenUsed/>
    <w:rsid w:val="00732FFB"/>
    <w:rPr>
      <w:sz w:val="16"/>
      <w:szCs w:val="16"/>
    </w:rPr>
  </w:style>
  <w:style w:type="character" w:customStyle="1" w:styleId="Ttulo1Car">
    <w:name w:val="Título 1 Car"/>
    <w:basedOn w:val="Fuentedeprrafopredeter"/>
    <w:uiPriority w:val="9"/>
    <w:rsid w:val="003A668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3A668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3A6687"/>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3A6687"/>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3A6687"/>
    <w:rPr>
      <w:rFonts w:eastAsiaTheme="majorEastAsia" w:cstheme="majorBidi"/>
      <w:color w:val="0F4761" w:themeColor="accent1" w:themeShade="BF"/>
    </w:rPr>
  </w:style>
  <w:style w:type="character" w:customStyle="1" w:styleId="Ttulo6Car">
    <w:name w:val="Título 6 Car"/>
    <w:basedOn w:val="Fuentedeprrafopredeter"/>
    <w:uiPriority w:val="9"/>
    <w:semiHidden/>
    <w:rsid w:val="003A6687"/>
    <w:rPr>
      <w:rFonts w:eastAsiaTheme="majorEastAsia" w:cstheme="majorBidi"/>
      <w:i/>
      <w:iCs/>
      <w:color w:val="595959" w:themeColor="text1" w:themeTint="A6"/>
    </w:rPr>
  </w:style>
  <w:style w:type="character" w:customStyle="1" w:styleId="Ttulo7Car">
    <w:name w:val="Título 7 Car"/>
    <w:basedOn w:val="Fuentedeprrafopredeter"/>
    <w:uiPriority w:val="9"/>
    <w:semiHidden/>
    <w:rsid w:val="003A6687"/>
    <w:rPr>
      <w:rFonts w:eastAsiaTheme="majorEastAsia" w:cstheme="majorBidi"/>
      <w:color w:val="595959" w:themeColor="text1" w:themeTint="A6"/>
    </w:rPr>
  </w:style>
  <w:style w:type="character" w:customStyle="1" w:styleId="Ttulo8Car">
    <w:name w:val="Título 8 Car"/>
    <w:basedOn w:val="Fuentedeprrafopredeter"/>
    <w:uiPriority w:val="9"/>
    <w:semiHidden/>
    <w:rsid w:val="003A6687"/>
    <w:rPr>
      <w:rFonts w:eastAsiaTheme="majorEastAsia" w:cstheme="majorBidi"/>
      <w:i/>
      <w:iCs/>
      <w:color w:val="272727" w:themeColor="text1" w:themeTint="D8"/>
    </w:rPr>
  </w:style>
  <w:style w:type="character" w:customStyle="1" w:styleId="Ttulo9Car">
    <w:name w:val="Título 9 Car"/>
    <w:basedOn w:val="Fuentedeprrafopredeter"/>
    <w:uiPriority w:val="9"/>
    <w:semiHidden/>
    <w:rsid w:val="003A6687"/>
    <w:rPr>
      <w:rFonts w:eastAsiaTheme="majorEastAsia" w:cstheme="majorBidi"/>
      <w:color w:val="272727" w:themeColor="text1" w:themeTint="D8"/>
    </w:rPr>
  </w:style>
  <w:style w:type="character" w:customStyle="1" w:styleId="EncabezadoCar">
    <w:name w:val="Encabezado Car"/>
    <w:basedOn w:val="Fuentedeprrafopredeter"/>
    <w:uiPriority w:val="99"/>
    <w:rsid w:val="003A6687"/>
  </w:style>
  <w:style w:type="character" w:customStyle="1" w:styleId="PiedepginaCar">
    <w:name w:val="Pie de página Car"/>
    <w:basedOn w:val="Fuentedeprrafopredeter"/>
    <w:uiPriority w:val="99"/>
    <w:rsid w:val="003A6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laura.martinez@iahorro.com" TargetMode="External"/><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839</Words>
  <Characters>4620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Noelia Perez</dc:creator>
  <cp:keywords/>
  <dc:description/>
  <cp:lastModifiedBy>Nerea Gastesi</cp:lastModifiedBy>
  <cp:revision>2</cp:revision>
  <dcterms:created xsi:type="dcterms:W3CDTF">2026-08-14T10:54:00Z</dcterms:created>
  <dcterms:modified xsi:type="dcterms:W3CDTF">2026-08-14T10:54:00Z</dcterms:modified>
</cp:coreProperties>
</file>