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CE959" w14:textId="77777777" w:rsidR="001B687B" w:rsidRDefault="001B687B" w:rsidP="001B687B">
      <w:pPr>
        <w:spacing w:after="160"/>
        <w:jc w:val="center"/>
        <w:rPr>
          <w:rFonts w:ascii="Times New Roman" w:hAnsi="Times New Roman" w:cs="Times New Roman"/>
          <w:color w:val="000000"/>
          <w:sz w:val="24"/>
          <w:szCs w:val="24"/>
        </w:rPr>
      </w:pPr>
      <w:bookmarkStart w:id="0" w:name="_Hlk203724381"/>
      <w:r>
        <w:rPr>
          <w:rStyle w:val="contentpasted0"/>
          <w:rFonts w:ascii="Muli" w:hAnsi="Muli"/>
          <w:b/>
          <w:bCs/>
          <w:color w:val="000000"/>
          <w:sz w:val="24"/>
          <w:szCs w:val="24"/>
        </w:rPr>
        <w:t>Análisis de los datos del INE, por Laura Martínez</w:t>
      </w:r>
    </w:p>
    <w:p w14:paraId="0300A3B9" w14:textId="24C87477" w:rsidR="001B687B" w:rsidRDefault="001C03BD" w:rsidP="001C03BD">
      <w:pPr>
        <w:jc w:val="center"/>
        <w:rPr>
          <w:rFonts w:ascii="Montserrat" w:hAnsi="Montserrat"/>
          <w:b/>
          <w:bCs/>
          <w:color w:val="243962"/>
          <w:sz w:val="32"/>
          <w:szCs w:val="32"/>
          <w:lang w:eastAsia="es-ES"/>
          <w14:ligatures w14:val="none"/>
        </w:rPr>
      </w:pPr>
      <w:r>
        <w:rPr>
          <w:rFonts w:ascii="Montserrat" w:hAnsi="Montserrat"/>
          <w:b/>
          <w:bCs/>
          <w:color w:val="243962"/>
          <w:sz w:val="32"/>
          <w:szCs w:val="32"/>
          <w:lang w:eastAsia="es-ES"/>
          <w14:ligatures w14:val="none"/>
        </w:rPr>
        <w:t>Crece de manera exponencial la firma de hipotecas en junio: es la cifra más elevada</w:t>
      </w:r>
      <w:r w:rsidR="00D64009">
        <w:rPr>
          <w:rFonts w:ascii="Montserrat" w:hAnsi="Montserrat"/>
          <w:b/>
          <w:bCs/>
          <w:color w:val="243962"/>
          <w:sz w:val="32"/>
          <w:szCs w:val="32"/>
          <w:lang w:eastAsia="es-ES"/>
          <w14:ligatures w14:val="none"/>
        </w:rPr>
        <w:t xml:space="preserve"> en el primer semestre</w:t>
      </w:r>
      <w:r>
        <w:rPr>
          <w:rFonts w:ascii="Montserrat" w:hAnsi="Montserrat"/>
          <w:b/>
          <w:bCs/>
          <w:color w:val="243962"/>
          <w:sz w:val="32"/>
          <w:szCs w:val="32"/>
          <w:lang w:eastAsia="es-ES"/>
          <w14:ligatures w14:val="none"/>
        </w:rPr>
        <w:t xml:space="preserve"> desde el año 2010</w:t>
      </w:r>
    </w:p>
    <w:p w14:paraId="4A95A003" w14:textId="4F17158F" w:rsidR="001B687B" w:rsidRPr="00CC1125" w:rsidRDefault="00057048" w:rsidP="001B687B">
      <w:pPr>
        <w:pStyle w:val="paragraph"/>
        <w:numPr>
          <w:ilvl w:val="0"/>
          <w:numId w:val="1"/>
        </w:numPr>
        <w:spacing w:before="240"/>
        <w:textAlignment w:val="baseline"/>
        <w:rPr>
          <w:rStyle w:val="normaltextrun"/>
          <w:rFonts w:ascii="Montserrat" w:hAnsi="Montserrat"/>
          <w:b/>
          <w:bCs/>
          <w:color w:val="243962"/>
          <w:sz w:val="32"/>
          <w:szCs w:val="32"/>
        </w:rPr>
      </w:pPr>
      <w:r w:rsidRPr="00CC1125">
        <w:rPr>
          <w:rStyle w:val="normaltextrun"/>
          <w:rFonts w:ascii="Muli" w:hAnsi="Muli"/>
        </w:rPr>
        <w:t xml:space="preserve">Desde el comparador y asesor hipotecario </w:t>
      </w:r>
      <w:r w:rsidR="00823AFA" w:rsidRPr="00CC1125">
        <w:rPr>
          <w:rStyle w:val="normaltextrun"/>
          <w:rFonts w:ascii="Muli" w:hAnsi="Muli"/>
        </w:rPr>
        <w:t>iAhorro analizamos los datos publicados por el Instituto Nacional de Estadística</w:t>
      </w:r>
      <w:r w:rsidR="001C03BD">
        <w:rPr>
          <w:rStyle w:val="normaltextrun"/>
          <w:rFonts w:ascii="Muli" w:hAnsi="Muli"/>
        </w:rPr>
        <w:t>.</w:t>
      </w:r>
    </w:p>
    <w:p w14:paraId="6617443D" w14:textId="6DA3A8CF" w:rsidR="00C1368A" w:rsidRDefault="001C03BD" w:rsidP="001B687B">
      <w:pPr>
        <w:pStyle w:val="paragraph"/>
        <w:numPr>
          <w:ilvl w:val="0"/>
          <w:numId w:val="1"/>
        </w:numPr>
        <w:spacing w:before="240"/>
        <w:textAlignment w:val="baseline"/>
        <w:rPr>
          <w:rStyle w:val="normaltextrun"/>
          <w:rFonts w:ascii="Muli" w:hAnsi="Muli"/>
        </w:rPr>
      </w:pPr>
      <w:r>
        <w:rPr>
          <w:rStyle w:val="normaltextrun"/>
          <w:rFonts w:ascii="Muli" w:hAnsi="Muli"/>
        </w:rPr>
        <w:t xml:space="preserve">El importe medio por préstamo es de 178.365 euros en el mes de junio. El tipo de interés medio en las nuevas hipotecas sigue por debajo del 3%. </w:t>
      </w:r>
    </w:p>
    <w:p w14:paraId="646FDC20" w14:textId="77777777" w:rsidR="00C1368A" w:rsidRDefault="00C1368A" w:rsidP="00C1368A">
      <w:pPr>
        <w:pStyle w:val="paragraph"/>
        <w:spacing w:before="240"/>
        <w:textAlignment w:val="baseline"/>
        <w:rPr>
          <w:rStyle w:val="normaltextrun"/>
          <w:rFonts w:ascii="Muli" w:hAnsi="Muli"/>
        </w:rPr>
      </w:pPr>
    </w:p>
    <w:p w14:paraId="4E4116A3" w14:textId="1DF5EFFB" w:rsidR="001B687B" w:rsidRPr="00C1368A" w:rsidRDefault="001B687B" w:rsidP="00C1368A">
      <w:pPr>
        <w:pStyle w:val="paragraph"/>
        <w:spacing w:before="240"/>
        <w:textAlignment w:val="baseline"/>
        <w:rPr>
          <w:rFonts w:ascii="Muli" w:hAnsi="Muli"/>
        </w:rPr>
      </w:pPr>
      <w:r w:rsidRPr="00C1368A">
        <w:rPr>
          <w:rFonts w:ascii="Muli" w:hAnsi="Muli"/>
        </w:rPr>
        <w:t xml:space="preserve">Madrid, </w:t>
      </w:r>
      <w:r w:rsidR="001C03BD">
        <w:rPr>
          <w:rFonts w:ascii="Muli" w:hAnsi="Muli"/>
        </w:rPr>
        <w:t>26</w:t>
      </w:r>
      <w:r w:rsidR="00CC1125" w:rsidRPr="00C1368A">
        <w:rPr>
          <w:rFonts w:ascii="Muli" w:hAnsi="Muli"/>
        </w:rPr>
        <w:t xml:space="preserve"> de </w:t>
      </w:r>
      <w:r w:rsidR="001C03BD">
        <w:rPr>
          <w:rFonts w:ascii="Muli" w:hAnsi="Muli"/>
        </w:rPr>
        <w:t>agosto</w:t>
      </w:r>
      <w:r w:rsidR="00CC1125" w:rsidRPr="00C1368A">
        <w:rPr>
          <w:rFonts w:ascii="Muli" w:hAnsi="Muli"/>
        </w:rPr>
        <w:t xml:space="preserve"> de 2026 </w:t>
      </w:r>
    </w:p>
    <w:p w14:paraId="423FDCBA" w14:textId="580E4AC3" w:rsidR="00CC1125" w:rsidRDefault="001C03BD" w:rsidP="001B687B">
      <w:pPr>
        <w:pStyle w:val="paragraph"/>
        <w:spacing w:before="240"/>
        <w:textAlignment w:val="baseline"/>
        <w:rPr>
          <w:rStyle w:val="normaltextrun"/>
          <w:rFonts w:ascii="Muli" w:hAnsi="Muli"/>
        </w:rPr>
      </w:pPr>
      <w:r>
        <w:rPr>
          <w:rStyle w:val="normaltextrun"/>
          <w:rFonts w:ascii="Muli" w:hAnsi="Muli"/>
        </w:rPr>
        <w:t xml:space="preserve">Tras los datos moderados del mes de mayo, el mes de junio se salda con un crecimiento más optimista en la firma de hipotecas. </w:t>
      </w:r>
      <w:r w:rsidR="006F0D94">
        <w:rPr>
          <w:rStyle w:val="normaltextrun"/>
          <w:rFonts w:ascii="Muli" w:hAnsi="Muli"/>
        </w:rPr>
        <w:t xml:space="preserve">Según los últimos datos publicados por el Instituto Nacional de Estadística (INE), el número de hipotecas constituidas sobre viviendas alcanzó las </w:t>
      </w:r>
      <w:r>
        <w:rPr>
          <w:rStyle w:val="normaltextrun"/>
          <w:rFonts w:ascii="Muli" w:hAnsi="Muli"/>
        </w:rPr>
        <w:t xml:space="preserve">45.907 </w:t>
      </w:r>
      <w:r w:rsidR="00BE749C">
        <w:rPr>
          <w:rStyle w:val="normaltextrun"/>
          <w:rFonts w:ascii="Muli" w:hAnsi="Muli"/>
        </w:rPr>
        <w:t>operaciones, lo</w:t>
      </w:r>
      <w:r w:rsidR="006F0D94">
        <w:rPr>
          <w:rStyle w:val="normaltextrun"/>
          <w:rFonts w:ascii="Muli" w:hAnsi="Muli"/>
        </w:rPr>
        <w:t xml:space="preserve"> que supone</w:t>
      </w:r>
      <w:r>
        <w:rPr>
          <w:rStyle w:val="normaltextrun"/>
          <w:rFonts w:ascii="Muli" w:hAnsi="Muli"/>
        </w:rPr>
        <w:t xml:space="preserve"> un 10,8% más que en mismo mes de 2025 y la mejor cifra</w:t>
      </w:r>
      <w:r w:rsidR="00D64009">
        <w:rPr>
          <w:rStyle w:val="normaltextrun"/>
          <w:rFonts w:ascii="Muli" w:hAnsi="Muli"/>
        </w:rPr>
        <w:t xml:space="preserve"> en el primer semestre</w:t>
      </w:r>
      <w:r>
        <w:rPr>
          <w:rStyle w:val="normaltextrun"/>
          <w:rFonts w:ascii="Muli" w:hAnsi="Muli"/>
        </w:rPr>
        <w:t xml:space="preserve"> desde el año 2010</w:t>
      </w:r>
      <w:r w:rsidR="00D64009">
        <w:rPr>
          <w:rStyle w:val="normaltextrun"/>
          <w:rFonts w:ascii="Muli" w:hAnsi="Muli"/>
        </w:rPr>
        <w:t>: d</w:t>
      </w:r>
      <w:r>
        <w:rPr>
          <w:rStyle w:val="normaltextrun"/>
          <w:rFonts w:ascii="Muli" w:hAnsi="Muli"/>
        </w:rPr>
        <w:t xml:space="preserve">esde el mes de enero se han firmado 260.000 préstamos. </w:t>
      </w:r>
    </w:p>
    <w:p w14:paraId="701650EC" w14:textId="33F35C10" w:rsidR="00CA6EA7" w:rsidRDefault="001C03BD" w:rsidP="001B687B">
      <w:pPr>
        <w:pStyle w:val="paragraph"/>
        <w:spacing w:before="240"/>
        <w:textAlignment w:val="baseline"/>
        <w:rPr>
          <w:rStyle w:val="normaltextrun"/>
          <w:rFonts w:ascii="Muli" w:hAnsi="Muli"/>
        </w:rPr>
      </w:pPr>
      <w:r>
        <w:rPr>
          <w:rStyle w:val="normaltextrun"/>
          <w:rFonts w:ascii="Muli" w:hAnsi="Muli"/>
        </w:rPr>
        <w:t>Los datos son alentadores pese a que la principal bandera roja es</w:t>
      </w:r>
      <w:r w:rsidR="00CA6EA7">
        <w:rPr>
          <w:rStyle w:val="normaltextrun"/>
          <w:rFonts w:ascii="Muli" w:hAnsi="Muli"/>
        </w:rPr>
        <w:t xml:space="preserve"> el importe medio de las hipotecas</w:t>
      </w:r>
      <w:r>
        <w:rPr>
          <w:rStyle w:val="normaltextrun"/>
          <w:rFonts w:ascii="Muli" w:hAnsi="Muli"/>
        </w:rPr>
        <w:t>, que no deja de subir</w:t>
      </w:r>
      <w:r w:rsidR="00CA6EA7">
        <w:rPr>
          <w:rStyle w:val="normaltextrun"/>
          <w:rFonts w:ascii="Muli" w:hAnsi="Muli"/>
        </w:rPr>
        <w:t>.</w:t>
      </w:r>
      <w:r w:rsidR="00BE749C">
        <w:rPr>
          <w:rStyle w:val="normaltextrun"/>
          <w:rFonts w:ascii="Muli" w:hAnsi="Muli"/>
        </w:rPr>
        <w:t xml:space="preserve"> </w:t>
      </w:r>
      <w:r>
        <w:rPr>
          <w:rStyle w:val="normaltextrun"/>
          <w:rFonts w:ascii="Muli" w:hAnsi="Muli"/>
        </w:rPr>
        <w:t>Solicitar</w:t>
      </w:r>
      <w:r w:rsidR="00BE749C">
        <w:rPr>
          <w:rStyle w:val="normaltextrun"/>
          <w:rFonts w:ascii="Muli" w:hAnsi="Muli"/>
        </w:rPr>
        <w:t xml:space="preserve"> una hipoteca cuesta cada vez más</w:t>
      </w:r>
      <w:r w:rsidR="000833F9">
        <w:rPr>
          <w:rStyle w:val="normaltextrun"/>
          <w:rFonts w:ascii="Muli" w:hAnsi="Muli"/>
        </w:rPr>
        <w:t>: e</w:t>
      </w:r>
      <w:r w:rsidR="00CA6EA7">
        <w:rPr>
          <w:rStyle w:val="normaltextrun"/>
          <w:rFonts w:ascii="Muli" w:hAnsi="Muli"/>
        </w:rPr>
        <w:t>n</w:t>
      </w:r>
      <w:r>
        <w:rPr>
          <w:rStyle w:val="normaltextrun"/>
          <w:rFonts w:ascii="Muli" w:hAnsi="Muli"/>
        </w:rPr>
        <w:t xml:space="preserve"> junio</w:t>
      </w:r>
      <w:r w:rsidR="00CA6EA7">
        <w:rPr>
          <w:rStyle w:val="normaltextrun"/>
          <w:rFonts w:ascii="Muli" w:hAnsi="Muli"/>
        </w:rPr>
        <w:t xml:space="preserve"> </w:t>
      </w:r>
      <w:r w:rsidR="000833F9">
        <w:rPr>
          <w:rStyle w:val="normaltextrun"/>
          <w:rFonts w:ascii="Muli" w:hAnsi="Muli"/>
        </w:rPr>
        <w:t xml:space="preserve">el precio </w:t>
      </w:r>
      <w:r w:rsidR="00CA6EA7">
        <w:rPr>
          <w:rStyle w:val="normaltextrun"/>
          <w:rFonts w:ascii="Muli" w:hAnsi="Muli"/>
        </w:rPr>
        <w:t>se situó en</w:t>
      </w:r>
      <w:r>
        <w:rPr>
          <w:rStyle w:val="normaltextrun"/>
          <w:rFonts w:ascii="Muli" w:hAnsi="Muli"/>
        </w:rPr>
        <w:t xml:space="preserve"> 178.365 euros, </w:t>
      </w:r>
      <w:r w:rsidR="00CA6EA7">
        <w:rPr>
          <w:rStyle w:val="normaltextrun"/>
          <w:rFonts w:ascii="Muli" w:hAnsi="Muli"/>
        </w:rPr>
        <w:t>un</w:t>
      </w:r>
      <w:r>
        <w:rPr>
          <w:rStyle w:val="normaltextrun"/>
          <w:rFonts w:ascii="Muli" w:hAnsi="Muli"/>
        </w:rPr>
        <w:t xml:space="preserve"> 6%</w:t>
      </w:r>
      <w:r w:rsidR="00CA6EA7">
        <w:rPr>
          <w:rStyle w:val="normaltextrun"/>
          <w:rFonts w:ascii="Muli" w:hAnsi="Muli"/>
        </w:rPr>
        <w:t xml:space="preserve"> más </w:t>
      </w:r>
      <w:r>
        <w:rPr>
          <w:rStyle w:val="normaltextrun"/>
          <w:rFonts w:ascii="Muli" w:hAnsi="Muli"/>
        </w:rPr>
        <w:t xml:space="preserve">en el total de las fincas inscritas en los registros de propiedad frente al mismo mes del año </w:t>
      </w:r>
      <w:r w:rsidR="00CA6EA7">
        <w:rPr>
          <w:rStyle w:val="normaltextrun"/>
          <w:rFonts w:ascii="Muli" w:hAnsi="Muli"/>
        </w:rPr>
        <w:t>2025</w:t>
      </w:r>
      <w:r>
        <w:rPr>
          <w:rStyle w:val="normaltextrun"/>
          <w:rFonts w:ascii="Muli" w:hAnsi="Muli"/>
        </w:rPr>
        <w:t>.</w:t>
      </w:r>
    </w:p>
    <w:p w14:paraId="4A755D93" w14:textId="46DD51CF" w:rsidR="00CA6EA7" w:rsidRDefault="001C03BD" w:rsidP="001B687B">
      <w:pPr>
        <w:pStyle w:val="paragraph"/>
        <w:spacing w:before="240"/>
        <w:textAlignment w:val="baseline"/>
        <w:rPr>
          <w:rStyle w:val="normaltextrun"/>
          <w:rFonts w:ascii="Muli" w:hAnsi="Muli"/>
        </w:rPr>
      </w:pPr>
      <w:r>
        <w:rPr>
          <w:rStyle w:val="normaltextrun"/>
          <w:rFonts w:ascii="Muli" w:hAnsi="Muli"/>
        </w:rPr>
        <w:t>Otro de los datos que refleja un equilibrio respecto al importe medio de las hipotecas es el</w:t>
      </w:r>
      <w:r w:rsidR="00CA6EA7">
        <w:rPr>
          <w:rStyle w:val="normaltextrun"/>
          <w:rFonts w:ascii="Muli" w:hAnsi="Muli"/>
        </w:rPr>
        <w:t xml:space="preserve"> tipo medio </w:t>
      </w:r>
      <w:r w:rsidR="00680B81">
        <w:rPr>
          <w:rStyle w:val="normaltextrun"/>
          <w:rFonts w:ascii="Muli" w:hAnsi="Muli"/>
        </w:rPr>
        <w:t>de interés</w:t>
      </w:r>
      <w:r>
        <w:rPr>
          <w:rStyle w:val="normaltextrun"/>
          <w:rFonts w:ascii="Muli" w:hAnsi="Muli"/>
        </w:rPr>
        <w:t>, que en el mes de junio</w:t>
      </w:r>
      <w:r w:rsidR="00680B81">
        <w:rPr>
          <w:rStyle w:val="normaltextrun"/>
          <w:rFonts w:ascii="Muli" w:hAnsi="Muli"/>
        </w:rPr>
        <w:t xml:space="preserve"> aún sigue por debajo del 3%</w:t>
      </w:r>
      <w:r>
        <w:rPr>
          <w:rStyle w:val="normaltextrun"/>
          <w:rFonts w:ascii="Muli" w:hAnsi="Muli"/>
        </w:rPr>
        <w:t xml:space="preserve"> a un plazo medio de 25 años</w:t>
      </w:r>
      <w:r w:rsidR="00680B81">
        <w:rPr>
          <w:rStyle w:val="normaltextrun"/>
          <w:rFonts w:ascii="Muli" w:hAnsi="Muli"/>
        </w:rPr>
        <w:t xml:space="preserve">. La cifra </w:t>
      </w:r>
      <w:r w:rsidR="00CA6EA7">
        <w:rPr>
          <w:rStyle w:val="normaltextrun"/>
          <w:rFonts w:ascii="Muli" w:hAnsi="Muli"/>
        </w:rPr>
        <w:t>aplicad</w:t>
      </w:r>
      <w:r w:rsidR="00680B81">
        <w:rPr>
          <w:rStyle w:val="normaltextrun"/>
          <w:rFonts w:ascii="Muli" w:hAnsi="Muli"/>
        </w:rPr>
        <w:t>a</w:t>
      </w:r>
      <w:r w:rsidR="00CA6EA7">
        <w:rPr>
          <w:rStyle w:val="normaltextrun"/>
          <w:rFonts w:ascii="Muli" w:hAnsi="Muli"/>
        </w:rPr>
        <w:t xml:space="preserve"> a las nuevas hipotecas se situó en el 2,9</w:t>
      </w:r>
      <w:r>
        <w:rPr>
          <w:rStyle w:val="normaltextrun"/>
          <w:rFonts w:ascii="Muli" w:hAnsi="Muli"/>
        </w:rPr>
        <w:t>6</w:t>
      </w:r>
      <w:r w:rsidR="00CA6EA7">
        <w:rPr>
          <w:rStyle w:val="normaltextrun"/>
          <w:rFonts w:ascii="Muli" w:hAnsi="Muli"/>
        </w:rPr>
        <w:t>% frente al</w:t>
      </w:r>
      <w:r w:rsidR="00C00774">
        <w:rPr>
          <w:rStyle w:val="normaltextrun"/>
          <w:rFonts w:ascii="Muli" w:hAnsi="Muli"/>
        </w:rPr>
        <w:t xml:space="preserve"> 2,</w:t>
      </w:r>
      <w:r w:rsidR="00CA6EA7">
        <w:rPr>
          <w:rStyle w:val="normaltextrun"/>
          <w:rFonts w:ascii="Muli" w:hAnsi="Muli"/>
        </w:rPr>
        <w:t>9</w:t>
      </w:r>
      <w:r>
        <w:rPr>
          <w:rStyle w:val="normaltextrun"/>
          <w:rFonts w:ascii="Muli" w:hAnsi="Muli"/>
        </w:rPr>
        <w:t>8</w:t>
      </w:r>
      <w:r w:rsidR="00CA6EA7">
        <w:rPr>
          <w:rStyle w:val="normaltextrun"/>
          <w:rFonts w:ascii="Muli" w:hAnsi="Muli"/>
        </w:rPr>
        <w:t xml:space="preserve">% registrado en </w:t>
      </w:r>
      <w:r>
        <w:rPr>
          <w:rStyle w:val="normaltextrun"/>
          <w:rFonts w:ascii="Muli" w:hAnsi="Muli"/>
        </w:rPr>
        <w:t>mayo</w:t>
      </w:r>
      <w:r w:rsidR="00680B81">
        <w:rPr>
          <w:rStyle w:val="normaltextrun"/>
          <w:rFonts w:ascii="Muli" w:hAnsi="Muli"/>
        </w:rPr>
        <w:t xml:space="preserve">, </w:t>
      </w:r>
      <w:r>
        <w:rPr>
          <w:rStyle w:val="normaltextrun"/>
          <w:rFonts w:ascii="Muli" w:hAnsi="Muli"/>
        </w:rPr>
        <w:t>aún un punto por debajo del</w:t>
      </w:r>
      <w:r w:rsidR="00680B81">
        <w:rPr>
          <w:rStyle w:val="normaltextrun"/>
          <w:rFonts w:ascii="Muli" w:hAnsi="Muli"/>
        </w:rPr>
        <w:t xml:space="preserve"> 2,97% del mes de </w:t>
      </w:r>
      <w:r>
        <w:rPr>
          <w:rStyle w:val="normaltextrun"/>
          <w:rFonts w:ascii="Muli" w:hAnsi="Muli"/>
        </w:rPr>
        <w:t xml:space="preserve">junio </w:t>
      </w:r>
      <w:r w:rsidR="00680B81">
        <w:rPr>
          <w:rStyle w:val="normaltextrun"/>
          <w:rFonts w:ascii="Muli" w:hAnsi="Muli"/>
        </w:rPr>
        <w:t>de 2025</w:t>
      </w:r>
      <w:r w:rsidR="00975C76">
        <w:rPr>
          <w:rStyle w:val="normaltextrun"/>
          <w:rFonts w:ascii="Muli" w:hAnsi="Muli"/>
        </w:rPr>
        <w:t xml:space="preserve">. </w:t>
      </w:r>
      <w:r w:rsidR="00680B81">
        <w:rPr>
          <w:rStyle w:val="normaltextrun"/>
          <w:rFonts w:ascii="Muli" w:hAnsi="Muli"/>
        </w:rPr>
        <w:t xml:space="preserve">En este escenario, </w:t>
      </w:r>
      <w:r w:rsidR="00975C76">
        <w:rPr>
          <w:rStyle w:val="normaltextrun"/>
          <w:rFonts w:ascii="Muli" w:hAnsi="Muli"/>
        </w:rPr>
        <w:t>el mercado continúa inclinado hacia los préstamos a tipo fijo, que representaron el 6</w:t>
      </w:r>
      <w:r>
        <w:rPr>
          <w:rStyle w:val="normaltextrun"/>
          <w:rFonts w:ascii="Muli" w:hAnsi="Muli"/>
        </w:rPr>
        <w:t>1</w:t>
      </w:r>
      <w:r w:rsidR="00975C76">
        <w:rPr>
          <w:rStyle w:val="normaltextrun"/>
          <w:rFonts w:ascii="Muli" w:hAnsi="Muli"/>
        </w:rPr>
        <w:t>,</w:t>
      </w:r>
      <w:r>
        <w:rPr>
          <w:rStyle w:val="normaltextrun"/>
          <w:rFonts w:ascii="Muli" w:hAnsi="Muli"/>
        </w:rPr>
        <w:t>7</w:t>
      </w:r>
      <w:r w:rsidR="00975C76">
        <w:rPr>
          <w:rStyle w:val="normaltextrun"/>
          <w:rFonts w:ascii="Muli" w:hAnsi="Muli"/>
        </w:rPr>
        <w:t>% de las nuevas operaciones frente al 3</w:t>
      </w:r>
      <w:r>
        <w:rPr>
          <w:rStyle w:val="normaltextrun"/>
          <w:rFonts w:ascii="Muli" w:hAnsi="Muli"/>
        </w:rPr>
        <w:t>8</w:t>
      </w:r>
      <w:r w:rsidR="00975C76">
        <w:rPr>
          <w:rStyle w:val="normaltextrun"/>
          <w:rFonts w:ascii="Muli" w:hAnsi="Muli"/>
        </w:rPr>
        <w:t>,</w:t>
      </w:r>
      <w:r>
        <w:rPr>
          <w:rStyle w:val="normaltextrun"/>
          <w:rFonts w:ascii="Muli" w:hAnsi="Muli"/>
        </w:rPr>
        <w:t>3</w:t>
      </w:r>
      <w:r w:rsidR="00975C76">
        <w:rPr>
          <w:rStyle w:val="normaltextrun"/>
          <w:rFonts w:ascii="Muli" w:hAnsi="Muli"/>
        </w:rPr>
        <w:t xml:space="preserve">% de las variables. El interés medio </w:t>
      </w:r>
      <w:r w:rsidR="00C00774">
        <w:rPr>
          <w:rStyle w:val="normaltextrun"/>
          <w:rFonts w:ascii="Muli" w:hAnsi="Muli"/>
        </w:rPr>
        <w:t xml:space="preserve">al inicio </w:t>
      </w:r>
      <w:r w:rsidR="00975C76">
        <w:rPr>
          <w:rStyle w:val="normaltextrun"/>
          <w:rFonts w:ascii="Muli" w:hAnsi="Muli"/>
        </w:rPr>
        <w:t xml:space="preserve">fue del </w:t>
      </w:r>
      <w:r>
        <w:rPr>
          <w:rStyle w:val="normaltextrun"/>
          <w:rFonts w:ascii="Muli" w:hAnsi="Muli"/>
        </w:rPr>
        <w:t xml:space="preserve">2,89% en las hipotecas fijas frente al </w:t>
      </w:r>
      <w:r w:rsidR="00975C76">
        <w:rPr>
          <w:rStyle w:val="normaltextrun"/>
          <w:rFonts w:ascii="Muli" w:hAnsi="Muli"/>
        </w:rPr>
        <w:t xml:space="preserve">2,96% </w:t>
      </w:r>
      <w:r>
        <w:rPr>
          <w:rStyle w:val="normaltextrun"/>
          <w:rFonts w:ascii="Muli" w:hAnsi="Muli"/>
        </w:rPr>
        <w:t>del mes de mayo</w:t>
      </w:r>
      <w:r w:rsidR="00975C76">
        <w:rPr>
          <w:rStyle w:val="normaltextrun"/>
          <w:rFonts w:ascii="Muli" w:hAnsi="Muli"/>
        </w:rPr>
        <w:t xml:space="preserve"> y del </w:t>
      </w:r>
      <w:r>
        <w:rPr>
          <w:rStyle w:val="normaltextrun"/>
          <w:rFonts w:ascii="Muli" w:hAnsi="Muli"/>
        </w:rPr>
        <w:t xml:space="preserve">3,07% en las variables frente al </w:t>
      </w:r>
      <w:r w:rsidR="00975C76">
        <w:rPr>
          <w:rStyle w:val="normaltextrun"/>
          <w:rFonts w:ascii="Muli" w:hAnsi="Muli"/>
        </w:rPr>
        <w:t xml:space="preserve">3% </w:t>
      </w:r>
      <w:r>
        <w:rPr>
          <w:rStyle w:val="normaltextrun"/>
          <w:rFonts w:ascii="Muli" w:hAnsi="Muli"/>
        </w:rPr>
        <w:t xml:space="preserve">del mes anterior. </w:t>
      </w:r>
      <w:r w:rsidR="00975C76">
        <w:rPr>
          <w:rStyle w:val="normaltextrun"/>
          <w:rFonts w:ascii="Muli" w:hAnsi="Muli"/>
        </w:rPr>
        <w:t xml:space="preserve"> </w:t>
      </w:r>
    </w:p>
    <w:p w14:paraId="02B274D5" w14:textId="5353A3C1" w:rsidR="001C03BD" w:rsidRDefault="001C03BD" w:rsidP="001C03BD">
      <w:pPr>
        <w:pStyle w:val="paragraph"/>
        <w:spacing w:before="240"/>
        <w:textAlignment w:val="baseline"/>
        <w:rPr>
          <w:rStyle w:val="normaltextrun"/>
          <w:rFonts w:ascii="Muli" w:hAnsi="Muli"/>
        </w:rPr>
      </w:pPr>
      <w:r>
        <w:rPr>
          <w:rStyle w:val="normaltextrun"/>
          <w:rFonts w:ascii="Muli" w:hAnsi="Muli"/>
        </w:rPr>
        <w:t xml:space="preserve">Los clientes son aún más conservadores a la hora de realizar cambios en los productos contratados: el número de hipotecas con cambios en sus condiciones inscritas en los registros de propiedad disminuyó un 19,1% en junio en tasa anual. Las novaciones o cambios con el mismo banco se redujeron un 25,3% y las subrogaciones al acreedor o cambio de entidad lo hicieron en un 15,4%. Se observa de nuevo un aumento en las subrogaciones al deudor al aumentar un 8,4%, un 4% más respecto al mes anterior.  Del total de cambios en las condiciones, la mayoría (83,1%) se debió a modificaciones en los tipos de interés buscando la mejor financiación. </w:t>
      </w:r>
    </w:p>
    <w:p w14:paraId="18479F01" w14:textId="15FFFABD" w:rsidR="001C03BD" w:rsidRDefault="001C03BD" w:rsidP="001C03BD">
      <w:pPr>
        <w:pStyle w:val="paragraph"/>
        <w:spacing w:before="240"/>
        <w:textAlignment w:val="baseline"/>
        <w:rPr>
          <w:rStyle w:val="normaltextrun"/>
          <w:rFonts w:ascii="Muli" w:hAnsi="Muli"/>
        </w:rPr>
      </w:pPr>
      <w:r>
        <w:rPr>
          <w:rStyle w:val="normaltextrun"/>
          <w:rFonts w:ascii="Muli" w:hAnsi="Muli"/>
        </w:rPr>
        <w:t xml:space="preserve">Por comunidades autónomas, Canarias lidera el crecimiento en el número de préstamos con un 31,4% más que el año pasado. Le sigue Castilla-La Mancha (+23,2%) </w:t>
      </w:r>
      <w:r>
        <w:rPr>
          <w:rStyle w:val="normaltextrun"/>
          <w:rFonts w:ascii="Muli" w:hAnsi="Muli"/>
        </w:rPr>
        <w:lastRenderedPageBreak/>
        <w:t xml:space="preserve">y Comunitat Valenciana (+16,1%) en los registros de los mayores incrementos en el número de hipotecas constituidas sobre viviendas respecto a mayo de 2025. En el lado contrario se sitúa de nuevo Illes Balears (-10,4%), Cantabria (-9,1%) y Galicia (-7,3%) que protagonizaron los mayores descensos. En cuanto a las compraventas, únicamente Extremadura (+2,6%) y Andalucía (+2,2%) consiguieron cerrar mayo con crecimientos interanuales, mientras que Cantabria (-28,6%), Murcia (-19,1%) e Illes Balears (-16,8%) lideraron las caídas. </w:t>
      </w:r>
    </w:p>
    <w:p w14:paraId="43CDF83F" w14:textId="50FB12CE" w:rsidR="006F1F24" w:rsidRDefault="006F1F24" w:rsidP="001B687B">
      <w:pPr>
        <w:pStyle w:val="paragraph"/>
        <w:spacing w:before="240"/>
        <w:textAlignment w:val="baseline"/>
        <w:rPr>
          <w:rStyle w:val="normaltextrun"/>
          <w:rFonts w:ascii="Muli" w:hAnsi="Muli"/>
        </w:rPr>
      </w:pPr>
      <w:r>
        <w:rPr>
          <w:rStyle w:val="normaltextrun"/>
          <w:rFonts w:ascii="Muli" w:hAnsi="Muli"/>
        </w:rPr>
        <w:t>Los datos de mayo dibujan un mercado que</w:t>
      </w:r>
      <w:r w:rsidR="001C03BD">
        <w:rPr>
          <w:rStyle w:val="normaltextrun"/>
          <w:rFonts w:ascii="Muli" w:hAnsi="Muli"/>
        </w:rPr>
        <w:t xml:space="preserve">, pese a mantener una estabilidad en los tipos de interés y un dinamismo en la firma de hipotecas positivo, se muestra muy pendiente del encarecimiento de la vivienda en España. Es el foco de la estabilidad inmobiliaria, pendiente de la próxima reunión del Banco Central Europeo (BCE) y sus decisiones sobre el precio del dinero, que con las nuevas tensiones generadas entre Estados Unidos e Irán podría repercutir de nuevo en la inflación y, por lo tanto, en los tipos de interés. </w:t>
      </w:r>
    </w:p>
    <w:p w14:paraId="538E4C10" w14:textId="77777777" w:rsidR="00CC1125" w:rsidRDefault="00CC1125" w:rsidP="001B687B">
      <w:pPr>
        <w:pStyle w:val="paragraph"/>
        <w:spacing w:before="240"/>
        <w:textAlignment w:val="baseline"/>
        <w:rPr>
          <w:rStyle w:val="normaltextrun"/>
          <w:rFonts w:ascii="Muli" w:hAnsi="Muli"/>
        </w:rPr>
      </w:pPr>
    </w:p>
    <w:p w14:paraId="0586C80F" w14:textId="77777777" w:rsidR="001B687B" w:rsidRDefault="001B687B" w:rsidP="001B687B">
      <w:pPr>
        <w:rPr>
          <w:rStyle w:val="contentpasted0"/>
          <w:rFonts w:ascii="Muli" w:hAnsi="Muli"/>
          <w:color w:val="000000"/>
          <w:u w:val="single"/>
        </w:rPr>
      </w:pPr>
    </w:p>
    <w:p w14:paraId="46042B2C" w14:textId="77777777" w:rsidR="001B687B" w:rsidRDefault="001B687B" w:rsidP="001B687B">
      <w:pPr>
        <w:rPr>
          <w:rStyle w:val="contentpasted0"/>
          <w:rFonts w:ascii="Muli" w:hAnsi="Muli"/>
          <w:color w:val="000000"/>
          <w:u w:val="single"/>
        </w:rPr>
      </w:pPr>
      <w:r>
        <w:rPr>
          <w:rStyle w:val="contentpasted0"/>
          <w:rFonts w:ascii="Muli" w:hAnsi="Muli"/>
          <w:color w:val="000000"/>
          <w:u w:val="single"/>
        </w:rPr>
        <w:t>Laura Martínez, portavoz de iAhorro.</w:t>
      </w:r>
    </w:p>
    <w:p w14:paraId="28F923B5" w14:textId="77777777" w:rsidR="001B687B" w:rsidRDefault="001B687B" w:rsidP="001B687B">
      <w:pPr>
        <w:rPr>
          <w:rStyle w:val="contentpasted0"/>
          <w:rFonts w:ascii="Muli" w:hAnsi="Muli"/>
          <w:color w:val="000000"/>
          <w:u w:val="single"/>
        </w:rPr>
      </w:pPr>
    </w:p>
    <w:p w14:paraId="78DB9FBB" w14:textId="77777777" w:rsidR="001B687B" w:rsidRDefault="001B687B" w:rsidP="001B687B">
      <w:pPr>
        <w:rPr>
          <w:rStyle w:val="contentpasted0"/>
          <w:rFonts w:ascii="Muli" w:hAnsi="Muli"/>
          <w:color w:val="000000"/>
          <w:u w:val="single"/>
        </w:rPr>
      </w:pPr>
    </w:p>
    <w:p w14:paraId="1C8BC5FE" w14:textId="77777777" w:rsidR="001B687B" w:rsidRDefault="001B687B" w:rsidP="001B687B">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2016"/>
        <w:gridCol w:w="2547"/>
        <w:gridCol w:w="2529"/>
      </w:tblGrid>
      <w:tr w:rsidR="001B687B" w:rsidRPr="00AF342D" w14:paraId="49A6C4DA" w14:textId="77777777" w:rsidTr="003C3046">
        <w:trPr>
          <w:trHeight w:val="132"/>
        </w:trPr>
        <w:tc>
          <w:tcPr>
            <w:tcW w:w="1980" w:type="dxa"/>
            <w:tcMar>
              <w:top w:w="0" w:type="dxa"/>
              <w:left w:w="108" w:type="dxa"/>
              <w:bottom w:w="0" w:type="dxa"/>
              <w:right w:w="108" w:type="dxa"/>
            </w:tcMar>
            <w:vAlign w:val="center"/>
            <w:hideMark/>
          </w:tcPr>
          <w:p w14:paraId="39375AE5" w14:textId="77777777" w:rsidR="001B687B" w:rsidRDefault="001B687B" w:rsidP="003C3046">
            <w:pPr>
              <w:pStyle w:val="Piedepgina"/>
              <w:spacing w:line="252" w:lineRule="auto"/>
              <w:rPr>
                <w:rFonts w:ascii="Aptos" w:hAnsi="Aptos" w:cs="Aptos"/>
                <w:b/>
                <w:bCs/>
                <w:sz w:val="18"/>
                <w:szCs w:val="18"/>
              </w:rPr>
            </w:pPr>
            <w:r>
              <w:rPr>
                <w:noProof/>
              </w:rPr>
              <w:drawing>
                <wp:inline distT="0" distB="0" distL="0" distR="0" wp14:anchorId="6C8EADB4" wp14:editId="38AACC86">
                  <wp:extent cx="1143000" cy="565999"/>
                  <wp:effectExtent l="0" t="0" r="0" b="0"/>
                  <wp:docPr id="1332602733" name="Imagen 1" descr="Logotipo&#10;&#10;Descripción generada automáticamente">
                    <a:extLst xmlns:a="http://schemas.openxmlformats.org/drawingml/2006/main">
                      <a:ext uri="{FF2B5EF4-FFF2-40B4-BE49-F238E27FC236}">
                        <a16:creationId xmlns:a16="http://schemas.microsoft.com/office/drawing/2014/main" id="{FA630877-8283-4961-A7B0-25A4192B7C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5">
                            <a:extLst>
                              <a:ext uri="{28A0092B-C50C-407E-A947-70E740481C1C}">
                                <a14:useLocalDpi xmlns:a14="http://schemas.microsoft.com/office/drawing/2010/main" val="0"/>
                              </a:ext>
                            </a:extLst>
                          </a:blip>
                          <a:stretch>
                            <a:fillRect/>
                          </a:stretch>
                        </pic:blipFill>
                        <pic:spPr>
                          <a:xfrm>
                            <a:off x="0" y="0"/>
                            <a:ext cx="1148384" cy="568665"/>
                          </a:xfrm>
                          <a:prstGeom prst="rect">
                            <a:avLst/>
                          </a:prstGeom>
                        </pic:spPr>
                      </pic:pic>
                    </a:graphicData>
                  </a:graphic>
                </wp:inline>
              </w:drawing>
            </w:r>
          </w:p>
        </w:tc>
        <w:tc>
          <w:tcPr>
            <w:tcW w:w="2556" w:type="dxa"/>
            <w:tcMar>
              <w:top w:w="0" w:type="dxa"/>
              <w:left w:w="108" w:type="dxa"/>
              <w:bottom w:w="0" w:type="dxa"/>
              <w:right w:w="108" w:type="dxa"/>
            </w:tcMar>
            <w:vAlign w:val="center"/>
          </w:tcPr>
          <w:p w14:paraId="1BA6D0D2" w14:textId="77777777" w:rsidR="001B687B" w:rsidRDefault="001B687B" w:rsidP="003C3046">
            <w:pPr>
              <w:pStyle w:val="Piedepgina"/>
              <w:spacing w:line="252" w:lineRule="auto"/>
              <w:jc w:val="center"/>
              <w:rPr>
                <w:b/>
                <w:bCs/>
                <w:sz w:val="18"/>
                <w:szCs w:val="18"/>
              </w:rPr>
            </w:pPr>
          </w:p>
          <w:p w14:paraId="69A5C2A8" w14:textId="77777777" w:rsidR="001B687B" w:rsidRDefault="001B687B" w:rsidP="003C3046">
            <w:pPr>
              <w:pStyle w:val="Piedepgina"/>
              <w:spacing w:line="252" w:lineRule="auto"/>
              <w:jc w:val="center"/>
              <w:rPr>
                <w:b/>
                <w:bCs/>
                <w:sz w:val="18"/>
                <w:szCs w:val="18"/>
              </w:rPr>
            </w:pPr>
          </w:p>
          <w:p w14:paraId="172993FB" w14:textId="77777777" w:rsidR="001B687B" w:rsidRDefault="001B687B" w:rsidP="003C3046">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6" w:history="1">
              <w:r w:rsidRPr="009D144E">
                <w:rPr>
                  <w:rStyle w:val="Hipervnculo"/>
                  <w:sz w:val="18"/>
                  <w:szCs w:val="18"/>
                </w:rPr>
                <w:t>laura.martinez@iahorro.com</w:t>
              </w:r>
            </w:hyperlink>
          </w:p>
          <w:p w14:paraId="311EBBB5" w14:textId="77777777" w:rsidR="001B687B" w:rsidRDefault="001B687B" w:rsidP="003C3046">
            <w:pPr>
              <w:pStyle w:val="Piedepgina"/>
              <w:spacing w:line="252" w:lineRule="auto"/>
              <w:jc w:val="center"/>
              <w:rPr>
                <w:b/>
                <w:bCs/>
                <w:sz w:val="18"/>
                <w:szCs w:val="18"/>
                <w:lang w:val="pt-PT"/>
              </w:rPr>
            </w:pPr>
          </w:p>
          <w:p w14:paraId="0313D916" w14:textId="77777777" w:rsidR="001B687B" w:rsidRDefault="001B687B" w:rsidP="003C3046">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2B7BDBAA" w14:textId="77777777" w:rsidR="001B687B" w:rsidRDefault="001B687B" w:rsidP="003C3046">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7" w:history="1">
              <w:r>
                <w:rPr>
                  <w:rStyle w:val="Hipervnculo"/>
                  <w:sz w:val="18"/>
                  <w:szCs w:val="18"/>
                  <w:lang w:val="pt-PT"/>
                </w:rPr>
                <w:t>noelia.perez@iahorro.com</w:t>
              </w:r>
            </w:hyperlink>
          </w:p>
        </w:tc>
      </w:tr>
      <w:bookmarkEnd w:id="0"/>
    </w:tbl>
    <w:p w14:paraId="4419903C" w14:textId="77777777" w:rsidR="00381D98" w:rsidRDefault="00381D98"/>
    <w:sectPr w:rsidR="00381D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C3F8B"/>
    <w:multiLevelType w:val="hybridMultilevel"/>
    <w:tmpl w:val="6B9E24BC"/>
    <w:lvl w:ilvl="0" w:tplc="78FCE130">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5927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7B"/>
    <w:rsid w:val="00057048"/>
    <w:rsid w:val="000833F9"/>
    <w:rsid w:val="00092EB4"/>
    <w:rsid w:val="001403C4"/>
    <w:rsid w:val="0014369C"/>
    <w:rsid w:val="00186E3C"/>
    <w:rsid w:val="001A5341"/>
    <w:rsid w:val="001B0F85"/>
    <w:rsid w:val="001B687B"/>
    <w:rsid w:val="001C03BD"/>
    <w:rsid w:val="00381D98"/>
    <w:rsid w:val="003C3046"/>
    <w:rsid w:val="0040546D"/>
    <w:rsid w:val="004F66A2"/>
    <w:rsid w:val="004F76A9"/>
    <w:rsid w:val="00652FF2"/>
    <w:rsid w:val="00680B81"/>
    <w:rsid w:val="006F0D94"/>
    <w:rsid w:val="006F1F24"/>
    <w:rsid w:val="00823AFA"/>
    <w:rsid w:val="00827DCD"/>
    <w:rsid w:val="00844CA8"/>
    <w:rsid w:val="008B27CD"/>
    <w:rsid w:val="008E01D6"/>
    <w:rsid w:val="009229D5"/>
    <w:rsid w:val="00956EC3"/>
    <w:rsid w:val="00960569"/>
    <w:rsid w:val="00975C76"/>
    <w:rsid w:val="009B1DAA"/>
    <w:rsid w:val="00AF4B78"/>
    <w:rsid w:val="00B7436F"/>
    <w:rsid w:val="00BC31BD"/>
    <w:rsid w:val="00BC45F7"/>
    <w:rsid w:val="00BD79B8"/>
    <w:rsid w:val="00BE749C"/>
    <w:rsid w:val="00C00774"/>
    <w:rsid w:val="00C1368A"/>
    <w:rsid w:val="00C2376E"/>
    <w:rsid w:val="00C53DDB"/>
    <w:rsid w:val="00C5629A"/>
    <w:rsid w:val="00CA6EA7"/>
    <w:rsid w:val="00CC1125"/>
    <w:rsid w:val="00CD6953"/>
    <w:rsid w:val="00D41B63"/>
    <w:rsid w:val="00D64009"/>
    <w:rsid w:val="00DD3B6E"/>
    <w:rsid w:val="00ED09E9"/>
    <w:rsid w:val="00F03023"/>
    <w:rsid w:val="00F03AE6"/>
    <w:rsid w:val="00F6617C"/>
    <w:rsid w:val="00F82F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A2D1"/>
  <w15:chartTrackingRefBased/>
  <w15:docId w15:val="{78F764F0-80FC-4AC4-9C5E-11EB227D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7B"/>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1B6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6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68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68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68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687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687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687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687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68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68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68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68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68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68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68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68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687B"/>
    <w:rPr>
      <w:rFonts w:eastAsiaTheme="majorEastAsia" w:cstheme="majorBidi"/>
      <w:color w:val="272727" w:themeColor="text1" w:themeTint="D8"/>
    </w:rPr>
  </w:style>
  <w:style w:type="paragraph" w:styleId="Ttulo">
    <w:name w:val="Title"/>
    <w:basedOn w:val="Normal"/>
    <w:next w:val="Normal"/>
    <w:link w:val="TtuloCar"/>
    <w:uiPriority w:val="10"/>
    <w:qFormat/>
    <w:rsid w:val="001B687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68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68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68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687B"/>
    <w:pPr>
      <w:spacing w:before="160"/>
      <w:jc w:val="center"/>
    </w:pPr>
    <w:rPr>
      <w:i/>
      <w:iCs/>
      <w:color w:val="404040" w:themeColor="text1" w:themeTint="BF"/>
    </w:rPr>
  </w:style>
  <w:style w:type="character" w:customStyle="1" w:styleId="CitaCar">
    <w:name w:val="Cita Car"/>
    <w:basedOn w:val="Fuentedeprrafopredeter"/>
    <w:link w:val="Cita"/>
    <w:uiPriority w:val="29"/>
    <w:rsid w:val="001B687B"/>
    <w:rPr>
      <w:i/>
      <w:iCs/>
      <w:color w:val="404040" w:themeColor="text1" w:themeTint="BF"/>
    </w:rPr>
  </w:style>
  <w:style w:type="paragraph" w:styleId="Prrafodelista">
    <w:name w:val="List Paragraph"/>
    <w:basedOn w:val="Normal"/>
    <w:uiPriority w:val="34"/>
    <w:qFormat/>
    <w:rsid w:val="001B687B"/>
    <w:pPr>
      <w:ind w:left="720"/>
      <w:contextualSpacing/>
    </w:pPr>
  </w:style>
  <w:style w:type="character" w:styleId="nfasisintenso">
    <w:name w:val="Intense Emphasis"/>
    <w:basedOn w:val="Fuentedeprrafopredeter"/>
    <w:uiPriority w:val="21"/>
    <w:qFormat/>
    <w:rsid w:val="001B687B"/>
    <w:rPr>
      <w:i/>
      <w:iCs/>
      <w:color w:val="0F4761" w:themeColor="accent1" w:themeShade="BF"/>
    </w:rPr>
  </w:style>
  <w:style w:type="paragraph" w:styleId="Citadestacada">
    <w:name w:val="Intense Quote"/>
    <w:basedOn w:val="Normal"/>
    <w:next w:val="Normal"/>
    <w:link w:val="CitadestacadaCar"/>
    <w:uiPriority w:val="30"/>
    <w:qFormat/>
    <w:rsid w:val="001B6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687B"/>
    <w:rPr>
      <w:i/>
      <w:iCs/>
      <w:color w:val="0F4761" w:themeColor="accent1" w:themeShade="BF"/>
    </w:rPr>
  </w:style>
  <w:style w:type="character" w:styleId="Referenciaintensa">
    <w:name w:val="Intense Reference"/>
    <w:basedOn w:val="Fuentedeprrafopredeter"/>
    <w:uiPriority w:val="32"/>
    <w:qFormat/>
    <w:rsid w:val="001B687B"/>
    <w:rPr>
      <w:b/>
      <w:bCs/>
      <w:smallCaps/>
      <w:color w:val="0F4761" w:themeColor="accent1" w:themeShade="BF"/>
      <w:spacing w:val="5"/>
    </w:rPr>
  </w:style>
  <w:style w:type="character" w:customStyle="1" w:styleId="contentpasted0">
    <w:name w:val="contentpasted0"/>
    <w:basedOn w:val="Fuentedeprrafopredeter"/>
    <w:rsid w:val="001B687B"/>
  </w:style>
  <w:style w:type="paragraph" w:customStyle="1" w:styleId="paragraph">
    <w:name w:val="paragraph"/>
    <w:basedOn w:val="Normal"/>
    <w:rsid w:val="001B687B"/>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1B687B"/>
  </w:style>
  <w:style w:type="paragraph" w:styleId="Piedepgina">
    <w:name w:val="footer"/>
    <w:basedOn w:val="Normal"/>
    <w:link w:val="PiedepginaCar"/>
    <w:uiPriority w:val="99"/>
    <w:unhideWhenUsed/>
    <w:rsid w:val="001B687B"/>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1B687B"/>
  </w:style>
  <w:style w:type="character" w:styleId="Hipervnculo">
    <w:name w:val="Hyperlink"/>
    <w:basedOn w:val="Fuentedeprrafopredeter"/>
    <w:uiPriority w:val="99"/>
    <w:unhideWhenUsed/>
    <w:rsid w:val="001B687B"/>
    <w:rPr>
      <w:color w:val="0563C1"/>
      <w:u w:val="single"/>
    </w:rPr>
  </w:style>
  <w:style w:type="paragraph" w:styleId="NormalWeb">
    <w:name w:val="Normal (Web)"/>
    <w:basedOn w:val="Normal"/>
    <w:uiPriority w:val="99"/>
    <w:semiHidden/>
    <w:unhideWhenUsed/>
    <w:rsid w:val="00F661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elia.perez@iahorr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a.martinez@iahorro.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641</Words>
  <Characters>3528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2026-08-27T12:07:00Z</dcterms:created>
  <dcterms:modified xsi:type="dcterms:W3CDTF">2026-08-27T12:07:00Z</dcterms:modified>
</cp:coreProperties>
</file>