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0113" w14:textId="77777777" w:rsidR="004036E1" w:rsidRDefault="004036E1" w:rsidP="004036E1">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Laura Martínez </w:t>
      </w:r>
    </w:p>
    <w:p w14:paraId="4EC5101E" w14:textId="3D9F23B9" w:rsidR="004036E1" w:rsidRPr="005C61A7" w:rsidRDefault="00250067" w:rsidP="004036E1">
      <w:pPr>
        <w:pStyle w:val="xmsonormal"/>
        <w:spacing w:after="160"/>
        <w:jc w:val="center"/>
        <w:rPr>
          <w:rFonts w:ascii="Montserrat" w:hAnsi="Montserrat"/>
          <w:b/>
          <w:bCs/>
          <w:color w:val="243962"/>
          <w:sz w:val="32"/>
          <w:szCs w:val="32"/>
        </w:rPr>
      </w:pPr>
      <w:r>
        <w:rPr>
          <w:rFonts w:ascii="Montserrat" w:hAnsi="Montserrat"/>
          <w:b/>
          <w:bCs/>
          <w:color w:val="243962"/>
          <w:sz w:val="32"/>
          <w:szCs w:val="32"/>
        </w:rPr>
        <w:t xml:space="preserve">El repunte de la inflación obliga al BCE a actuar: </w:t>
      </w:r>
      <w:r w:rsidR="00EE2CF3">
        <w:rPr>
          <w:rFonts w:ascii="Montserrat" w:hAnsi="Montserrat"/>
          <w:b/>
          <w:bCs/>
          <w:color w:val="243962"/>
          <w:sz w:val="32"/>
          <w:szCs w:val="32"/>
        </w:rPr>
        <w:t xml:space="preserve">habrá </w:t>
      </w:r>
      <w:r w:rsidR="00A62570">
        <w:rPr>
          <w:rFonts w:ascii="Montserrat" w:hAnsi="Montserrat"/>
          <w:b/>
          <w:bCs/>
          <w:color w:val="243962"/>
          <w:sz w:val="32"/>
          <w:szCs w:val="32"/>
        </w:rPr>
        <w:t xml:space="preserve">una nueva </w:t>
      </w:r>
      <w:r w:rsidR="00EE2CF3">
        <w:rPr>
          <w:rFonts w:ascii="Montserrat" w:hAnsi="Montserrat"/>
          <w:b/>
          <w:bCs/>
          <w:color w:val="243962"/>
          <w:sz w:val="32"/>
          <w:szCs w:val="32"/>
        </w:rPr>
        <w:t>subida</w:t>
      </w:r>
      <w:r w:rsidR="00A62570">
        <w:rPr>
          <w:rFonts w:ascii="Montserrat" w:hAnsi="Montserrat"/>
          <w:b/>
          <w:bCs/>
          <w:color w:val="243962"/>
          <w:sz w:val="32"/>
          <w:szCs w:val="32"/>
        </w:rPr>
        <w:t xml:space="preserve"> </w:t>
      </w:r>
      <w:r w:rsidR="00EE2CF3">
        <w:rPr>
          <w:rFonts w:ascii="Montserrat" w:hAnsi="Montserrat"/>
          <w:b/>
          <w:bCs/>
          <w:color w:val="243962"/>
          <w:sz w:val="32"/>
          <w:szCs w:val="32"/>
        </w:rPr>
        <w:t>de tipos de interés hasta el 2,5%</w:t>
      </w:r>
      <w:r>
        <w:rPr>
          <w:rFonts w:ascii="Montserrat" w:hAnsi="Montserrat"/>
          <w:b/>
          <w:bCs/>
          <w:color w:val="243962"/>
          <w:sz w:val="32"/>
          <w:szCs w:val="32"/>
        </w:rPr>
        <w:t xml:space="preserve"> </w:t>
      </w:r>
    </w:p>
    <w:p w14:paraId="79081D0C" w14:textId="77777777" w:rsidR="004036E1" w:rsidRDefault="004036E1" w:rsidP="004036E1">
      <w:pPr>
        <w:rPr>
          <w:rFonts w:ascii="Muli" w:hAnsi="Muli"/>
          <w:sz w:val="24"/>
          <w:szCs w:val="24"/>
        </w:rPr>
      </w:pPr>
    </w:p>
    <w:p w14:paraId="474F4082" w14:textId="17339817" w:rsidR="004036E1" w:rsidRDefault="004036E1" w:rsidP="004036E1">
      <w:pPr>
        <w:rPr>
          <w:rFonts w:ascii="Muli" w:hAnsi="Muli"/>
          <w:sz w:val="24"/>
          <w:szCs w:val="24"/>
        </w:rPr>
      </w:pPr>
      <w:r w:rsidRPr="200BADFB">
        <w:rPr>
          <w:rFonts w:ascii="Muli" w:hAnsi="Muli"/>
          <w:sz w:val="24"/>
          <w:szCs w:val="24"/>
        </w:rPr>
        <w:t xml:space="preserve">Madrid, </w:t>
      </w:r>
      <w:r w:rsidR="00DD2E58">
        <w:rPr>
          <w:rFonts w:ascii="Muli" w:hAnsi="Muli"/>
          <w:sz w:val="24"/>
          <w:szCs w:val="24"/>
        </w:rPr>
        <w:t xml:space="preserve">9 de septiembre de 2026 </w:t>
      </w:r>
    </w:p>
    <w:p w14:paraId="6B4AA453" w14:textId="77777777" w:rsidR="004040EF" w:rsidRDefault="004040EF" w:rsidP="004036E1">
      <w:pPr>
        <w:rPr>
          <w:rFonts w:ascii="Muli" w:hAnsi="Muli"/>
          <w:sz w:val="24"/>
          <w:szCs w:val="24"/>
        </w:rPr>
      </w:pPr>
    </w:p>
    <w:p w14:paraId="77AC7969" w14:textId="3E6B60E6" w:rsidR="00250067" w:rsidRDefault="00250067" w:rsidP="004036E1">
      <w:pPr>
        <w:rPr>
          <w:rFonts w:ascii="Muli" w:hAnsi="Muli"/>
          <w:sz w:val="24"/>
          <w:szCs w:val="24"/>
        </w:rPr>
      </w:pPr>
      <w:r>
        <w:rPr>
          <w:rFonts w:ascii="Muli" w:hAnsi="Muli"/>
          <w:sz w:val="24"/>
          <w:szCs w:val="24"/>
        </w:rPr>
        <w:t xml:space="preserve">La reunión que el Banco Central Europeo (BCE) celebra este jueves 10 de septiembre llega marcada por un escenario más complejo que el vivido antes del verano. Tras unas semanas de tranquilidad estivales y sin cambios en los tipos de interés, todo apunta a que la institución presidida por Christine Lagarde volverá a </w:t>
      </w:r>
      <w:r w:rsidR="00EE2CF3">
        <w:rPr>
          <w:rFonts w:ascii="Muli" w:hAnsi="Muli"/>
          <w:sz w:val="24"/>
          <w:szCs w:val="24"/>
        </w:rPr>
        <w:t xml:space="preserve">elevar el precio del dinero en 25 puntos básicos, desde el 2,25% hasta el 2,5%. Sería la segunda del año después del incremento aprobado en junio. </w:t>
      </w:r>
    </w:p>
    <w:p w14:paraId="1B3289E7" w14:textId="77777777" w:rsidR="00EE2CF3" w:rsidRDefault="00EE2CF3" w:rsidP="004036E1">
      <w:pPr>
        <w:rPr>
          <w:rFonts w:ascii="Muli" w:hAnsi="Muli"/>
          <w:sz w:val="24"/>
          <w:szCs w:val="24"/>
        </w:rPr>
      </w:pPr>
    </w:p>
    <w:p w14:paraId="23AD9783" w14:textId="0E4F2066" w:rsidR="00EE2CF3" w:rsidRDefault="00EE2CF3" w:rsidP="00EE2CF3">
      <w:pPr>
        <w:rPr>
          <w:rFonts w:ascii="Muli" w:hAnsi="Muli"/>
          <w:sz w:val="24"/>
          <w:szCs w:val="24"/>
        </w:rPr>
      </w:pPr>
      <w:r>
        <w:rPr>
          <w:rFonts w:ascii="Muli" w:hAnsi="Muli"/>
          <w:sz w:val="24"/>
          <w:szCs w:val="24"/>
        </w:rPr>
        <w:t xml:space="preserve">Uno de los indicadores que </w:t>
      </w:r>
      <w:r w:rsidR="008F13EB">
        <w:rPr>
          <w:rFonts w:ascii="Muli" w:hAnsi="Muli"/>
          <w:sz w:val="24"/>
          <w:szCs w:val="24"/>
        </w:rPr>
        <w:t>lleva semanas anticipando el movimiento</w:t>
      </w:r>
      <w:r>
        <w:rPr>
          <w:rFonts w:ascii="Muli" w:hAnsi="Muli"/>
          <w:sz w:val="24"/>
          <w:szCs w:val="24"/>
        </w:rPr>
        <w:t xml:space="preserve"> es el euríbor, que en los últimos días ha registrado valores cercanos al 3,1%, con una media provisional en septiembre del 3,</w:t>
      </w:r>
      <w:r w:rsidR="00E145E9">
        <w:rPr>
          <w:rFonts w:ascii="Muli" w:hAnsi="Muli"/>
          <w:sz w:val="24"/>
          <w:szCs w:val="24"/>
        </w:rPr>
        <w:t>101</w:t>
      </w:r>
      <w:r>
        <w:rPr>
          <w:rFonts w:ascii="Muli" w:hAnsi="Muli"/>
          <w:sz w:val="24"/>
          <w:szCs w:val="24"/>
        </w:rPr>
        <w:t>%</w:t>
      </w:r>
      <w:r w:rsidR="00E145E9">
        <w:rPr>
          <w:rFonts w:ascii="Muli" w:hAnsi="Muli"/>
          <w:sz w:val="24"/>
          <w:szCs w:val="24"/>
        </w:rPr>
        <w:t xml:space="preserve"> (dato hasta el 8 de septiembre incluido)</w:t>
      </w:r>
      <w:r>
        <w:rPr>
          <w:rFonts w:ascii="Muli" w:hAnsi="Muli"/>
          <w:sz w:val="24"/>
          <w:szCs w:val="24"/>
        </w:rPr>
        <w:t xml:space="preserve">. Y como principal argumento que respalda un nuevo endurecimiento de la política monetaria es la evolución de los precios. La inflación de la eurozona se sitió en agosto en el 3,3% frente al 2,9% del mes de julio, ampliando de nuevo la distancia respecto al objetivo del 2% perseguido por el Banco Central Europeo. </w:t>
      </w:r>
      <w:r w:rsidR="00A62570">
        <w:rPr>
          <w:rFonts w:ascii="Muli" w:hAnsi="Muli"/>
          <w:sz w:val="24"/>
          <w:szCs w:val="24"/>
        </w:rPr>
        <w:t xml:space="preserve">Según las estimaciones de Eurostat, los precios energéticos subieron un 14,3% interanual en el mes de agosto respecto al 10,3% de julio. </w:t>
      </w:r>
      <w:r>
        <w:rPr>
          <w:rFonts w:ascii="Muli" w:hAnsi="Muli"/>
          <w:sz w:val="24"/>
          <w:szCs w:val="24"/>
        </w:rPr>
        <w:t>El encarecimiento de la energía</w:t>
      </w:r>
      <w:r w:rsidR="00A62570">
        <w:rPr>
          <w:rFonts w:ascii="Muli" w:hAnsi="Muli"/>
          <w:sz w:val="24"/>
          <w:szCs w:val="24"/>
        </w:rPr>
        <w:t>, el petróleo y el gas,</w:t>
      </w:r>
      <w:r>
        <w:rPr>
          <w:rFonts w:ascii="Muli" w:hAnsi="Muli"/>
          <w:sz w:val="24"/>
          <w:szCs w:val="24"/>
        </w:rPr>
        <w:t xml:space="preserve"> está detrás del aumento y lo que continúa siendo uno de los factores que explican esta evolución y que ha aumentado un 4,1% en agosto</w:t>
      </w:r>
      <w:r w:rsidR="008F13EB">
        <w:rPr>
          <w:rFonts w:ascii="Muli" w:hAnsi="Muli"/>
          <w:sz w:val="24"/>
          <w:szCs w:val="24"/>
        </w:rPr>
        <w:t xml:space="preserve">”, explica Laura Martínez, portavoz de iAhorro. </w:t>
      </w:r>
      <w:r w:rsidR="00A62570">
        <w:rPr>
          <w:rFonts w:ascii="Muli" w:hAnsi="Muli"/>
          <w:sz w:val="24"/>
          <w:szCs w:val="24"/>
        </w:rPr>
        <w:t xml:space="preserve">La senda además es continuista dado el enquistamiento del conflicto en Oriente Próximo. A esta serie de indicadores se añade el primer déficit comercial de la Unión Europea desde 2023, con un saldo negativo de 21.800 millones de euros en el segundo trimestre del año. </w:t>
      </w:r>
    </w:p>
    <w:p w14:paraId="2E2CD1A7" w14:textId="559A3AA1" w:rsidR="00EE2CF3" w:rsidRDefault="00EE2CF3" w:rsidP="004036E1">
      <w:pPr>
        <w:rPr>
          <w:rFonts w:ascii="Muli" w:hAnsi="Muli"/>
          <w:sz w:val="24"/>
          <w:szCs w:val="24"/>
        </w:rPr>
      </w:pPr>
    </w:p>
    <w:p w14:paraId="721C15DB" w14:textId="2FAC918A" w:rsidR="004040EF" w:rsidRDefault="008F13EB" w:rsidP="004036E1">
      <w:pPr>
        <w:rPr>
          <w:rFonts w:ascii="Muli" w:hAnsi="Muli"/>
          <w:sz w:val="24"/>
          <w:szCs w:val="24"/>
        </w:rPr>
      </w:pPr>
      <w:r>
        <w:rPr>
          <w:rFonts w:ascii="Muli" w:hAnsi="Muli"/>
          <w:sz w:val="24"/>
          <w:szCs w:val="24"/>
        </w:rPr>
        <w:t>El organismo ya dejó claro tras la última subida de tipos que las siguientes decisiones dependerían de la evolución de los datos y que no se comprometía de antemano con una senda de tipos bajos. Por lo tanto, l</w:t>
      </w:r>
      <w:r w:rsidR="00EE2CF3">
        <w:rPr>
          <w:rFonts w:ascii="Muli" w:hAnsi="Muli"/>
          <w:sz w:val="24"/>
          <w:szCs w:val="24"/>
        </w:rPr>
        <w:t xml:space="preserve">a duda se ha desplazado ya no tanto a la decisión que tome el BCE este jueves, </w:t>
      </w:r>
      <w:r>
        <w:rPr>
          <w:rFonts w:ascii="Muli" w:hAnsi="Muli"/>
          <w:sz w:val="24"/>
          <w:szCs w:val="24"/>
        </w:rPr>
        <w:t xml:space="preserve">que se da por descontada, </w:t>
      </w:r>
      <w:r w:rsidR="00EE2CF3">
        <w:rPr>
          <w:rFonts w:ascii="Muli" w:hAnsi="Muli"/>
          <w:sz w:val="24"/>
          <w:szCs w:val="24"/>
        </w:rPr>
        <w:t>sino lo que sucederá después y hasta qué punto estará dispuesto a llegar Fráncfort si las presiones inflacionistas persisten.</w:t>
      </w:r>
      <w:r>
        <w:rPr>
          <w:rFonts w:ascii="Muli" w:hAnsi="Muli"/>
          <w:sz w:val="24"/>
          <w:szCs w:val="24"/>
        </w:rPr>
        <w:t xml:space="preserve"> “</w:t>
      </w:r>
      <w:r w:rsidR="004040EF">
        <w:rPr>
          <w:rFonts w:ascii="Muli" w:hAnsi="Muli"/>
          <w:sz w:val="24"/>
          <w:szCs w:val="24"/>
        </w:rPr>
        <w:t xml:space="preserve">El mensaje </w:t>
      </w:r>
      <w:r>
        <w:rPr>
          <w:rFonts w:ascii="Muli" w:hAnsi="Muli"/>
          <w:sz w:val="24"/>
          <w:szCs w:val="24"/>
        </w:rPr>
        <w:t xml:space="preserve">que aporte </w:t>
      </w:r>
      <w:r w:rsidR="004040EF">
        <w:rPr>
          <w:rFonts w:ascii="Muli" w:hAnsi="Muli"/>
          <w:sz w:val="24"/>
          <w:szCs w:val="24"/>
        </w:rPr>
        <w:t xml:space="preserve">Christine Lagarde </w:t>
      </w:r>
      <w:r>
        <w:rPr>
          <w:rFonts w:ascii="Muli" w:hAnsi="Muli"/>
          <w:sz w:val="24"/>
          <w:szCs w:val="24"/>
        </w:rPr>
        <w:t xml:space="preserve">este jueves </w:t>
      </w:r>
      <w:r w:rsidR="004040EF">
        <w:rPr>
          <w:rFonts w:ascii="Muli" w:hAnsi="Muli"/>
          <w:sz w:val="24"/>
          <w:szCs w:val="24"/>
        </w:rPr>
        <w:t xml:space="preserve">sobre cómo será esta última parte del año </w:t>
      </w:r>
      <w:r>
        <w:rPr>
          <w:rFonts w:ascii="Muli" w:hAnsi="Muli"/>
          <w:sz w:val="24"/>
          <w:szCs w:val="24"/>
        </w:rPr>
        <w:t>será clave,</w:t>
      </w:r>
      <w:r w:rsidR="004040EF">
        <w:rPr>
          <w:rFonts w:ascii="Muli" w:hAnsi="Muli"/>
          <w:sz w:val="24"/>
          <w:szCs w:val="24"/>
        </w:rPr>
        <w:t xml:space="preserve"> si esta subida de tipos será suficiente o si </w:t>
      </w:r>
      <w:proofErr w:type="gramStart"/>
      <w:r w:rsidR="004040EF">
        <w:rPr>
          <w:rFonts w:ascii="Muli" w:hAnsi="Muli"/>
          <w:sz w:val="24"/>
          <w:szCs w:val="24"/>
        </w:rPr>
        <w:t>podría</w:t>
      </w:r>
      <w:proofErr w:type="gramEnd"/>
      <w:r w:rsidR="004040EF">
        <w:rPr>
          <w:rFonts w:ascii="Muli" w:hAnsi="Muli"/>
          <w:sz w:val="24"/>
          <w:szCs w:val="24"/>
        </w:rPr>
        <w:t xml:space="preserve"> llegar al 3%</w:t>
      </w:r>
      <w:r>
        <w:rPr>
          <w:rFonts w:ascii="Muli" w:hAnsi="Muli"/>
          <w:sz w:val="24"/>
          <w:szCs w:val="24"/>
        </w:rPr>
        <w:t xml:space="preserve">”, adelanta Martínez. En ese caso, las expectativas del mercado podrían seguir ejerciendo presión al alza sobre el índice durante el último trimestre del año. </w:t>
      </w:r>
    </w:p>
    <w:p w14:paraId="0BBD6C81" w14:textId="77777777" w:rsidR="004040EF" w:rsidRDefault="004040EF" w:rsidP="004036E1">
      <w:pPr>
        <w:rPr>
          <w:rFonts w:ascii="Muli" w:hAnsi="Muli"/>
          <w:sz w:val="24"/>
          <w:szCs w:val="24"/>
        </w:rPr>
      </w:pPr>
    </w:p>
    <w:p w14:paraId="433CE379" w14:textId="77777777" w:rsidR="004040EF" w:rsidRDefault="004040EF" w:rsidP="004036E1">
      <w:pPr>
        <w:rPr>
          <w:rFonts w:ascii="Muli" w:hAnsi="Muli"/>
          <w:sz w:val="24"/>
          <w:szCs w:val="24"/>
        </w:rPr>
      </w:pPr>
    </w:p>
    <w:p w14:paraId="2C1376C3" w14:textId="77777777" w:rsidR="004040EF" w:rsidRPr="00AC043F" w:rsidRDefault="004040EF" w:rsidP="004036E1">
      <w:pPr>
        <w:rPr>
          <w:rFonts w:ascii="Muli" w:hAnsi="Muli"/>
          <w:sz w:val="24"/>
          <w:szCs w:val="24"/>
        </w:rPr>
      </w:pPr>
    </w:p>
    <w:p w14:paraId="20D4C5D3" w14:textId="77777777" w:rsidR="004036E1" w:rsidRPr="005C61A7" w:rsidRDefault="004036E1" w:rsidP="004036E1">
      <w:pPr>
        <w:pStyle w:val="paragraph"/>
        <w:spacing w:before="240"/>
        <w:textAlignment w:val="baseline"/>
        <w:rPr>
          <w:rStyle w:val="contentpasted0"/>
          <w:rFonts w:ascii="Muli" w:hAnsi="Muli"/>
        </w:rPr>
      </w:pPr>
      <w:r>
        <w:rPr>
          <w:rStyle w:val="contentpasted0"/>
          <w:rFonts w:ascii="Muli" w:hAnsi="Muli"/>
          <w:color w:val="000000"/>
          <w:u w:val="single"/>
        </w:rPr>
        <w:t>Laura Martínez, portavoz de iAhorro.</w:t>
      </w:r>
    </w:p>
    <w:p w14:paraId="1DB5E1DB" w14:textId="77777777" w:rsidR="004036E1" w:rsidRPr="000B5564" w:rsidRDefault="004036E1" w:rsidP="004036E1">
      <w:pPr>
        <w:rPr>
          <w:rStyle w:val="contentpasted0"/>
          <w:rFonts w:ascii="Muli" w:hAnsi="Muli"/>
          <w:color w:val="000000"/>
          <w:sz w:val="24"/>
          <w:szCs w:val="24"/>
          <w:u w:val="single"/>
        </w:rPr>
      </w:pPr>
    </w:p>
    <w:p w14:paraId="65A65CDB" w14:textId="77777777" w:rsidR="004036E1" w:rsidRDefault="004036E1" w:rsidP="004036E1">
      <w:pPr>
        <w:rPr>
          <w:rStyle w:val="contentpasted0"/>
          <w:rFonts w:ascii="Muli" w:hAnsi="Muli"/>
          <w:i/>
          <w:iCs/>
          <w:color w:val="000000"/>
          <w:u w:val="single"/>
        </w:rPr>
      </w:pPr>
    </w:p>
    <w:p w14:paraId="3A4536A5" w14:textId="77777777" w:rsidR="004036E1" w:rsidRDefault="004036E1" w:rsidP="004036E1">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2016"/>
        <w:gridCol w:w="2547"/>
        <w:gridCol w:w="2529"/>
      </w:tblGrid>
      <w:tr w:rsidR="004036E1" w:rsidRPr="006921F0" w14:paraId="794B4728" w14:textId="77777777" w:rsidTr="00E31F6E">
        <w:trPr>
          <w:trHeight w:val="132"/>
        </w:trPr>
        <w:tc>
          <w:tcPr>
            <w:tcW w:w="1980" w:type="dxa"/>
            <w:tcMar>
              <w:top w:w="0" w:type="dxa"/>
              <w:left w:w="108" w:type="dxa"/>
              <w:bottom w:w="0" w:type="dxa"/>
              <w:right w:w="108" w:type="dxa"/>
            </w:tcMar>
            <w:vAlign w:val="center"/>
            <w:hideMark/>
          </w:tcPr>
          <w:p w14:paraId="0C4E1FCD" w14:textId="77777777" w:rsidR="004036E1" w:rsidRDefault="004036E1" w:rsidP="00E31F6E">
            <w:pPr>
              <w:pStyle w:val="Piedepgina"/>
              <w:spacing w:line="252" w:lineRule="auto"/>
              <w:rPr>
                <w:rFonts w:ascii="Aptos" w:hAnsi="Aptos" w:cs="Aptos"/>
                <w:b/>
                <w:bCs/>
                <w:sz w:val="18"/>
                <w:szCs w:val="18"/>
              </w:rPr>
            </w:pPr>
            <w:r>
              <w:rPr>
                <w:noProof/>
              </w:rPr>
              <w:drawing>
                <wp:inline distT="0" distB="0" distL="0" distR="0" wp14:anchorId="00D3D4CF" wp14:editId="5997BA47">
                  <wp:extent cx="1143000" cy="565999"/>
                  <wp:effectExtent l="0" t="0" r="0" b="0"/>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4">
                            <a:extLst>
                              <a:ext uri="{28A0092B-C50C-407E-A947-70E740481C1C}">
                                <a14:useLocalDpi xmlns:a14="http://schemas.microsoft.com/office/drawing/2010/main" val="0"/>
                              </a:ext>
                            </a:extLst>
                          </a:blip>
                          <a:stretch>
                            <a:fillRect/>
                          </a:stretch>
                        </pic:blipFill>
                        <pic:spPr>
                          <a:xfrm>
                            <a:off x="0" y="0"/>
                            <a:ext cx="1148384" cy="568665"/>
                          </a:xfrm>
                          <a:prstGeom prst="rect">
                            <a:avLst/>
                          </a:prstGeom>
                        </pic:spPr>
                      </pic:pic>
                    </a:graphicData>
                  </a:graphic>
                </wp:inline>
              </w:drawing>
            </w:r>
          </w:p>
        </w:tc>
        <w:tc>
          <w:tcPr>
            <w:tcW w:w="2556" w:type="dxa"/>
            <w:tcMar>
              <w:top w:w="0" w:type="dxa"/>
              <w:left w:w="108" w:type="dxa"/>
              <w:bottom w:w="0" w:type="dxa"/>
              <w:right w:w="108" w:type="dxa"/>
            </w:tcMar>
            <w:vAlign w:val="center"/>
          </w:tcPr>
          <w:p w14:paraId="2C26B65E" w14:textId="77777777" w:rsidR="004036E1" w:rsidRDefault="004036E1" w:rsidP="00E31F6E">
            <w:pPr>
              <w:pStyle w:val="Piedepgina"/>
              <w:spacing w:line="252" w:lineRule="auto"/>
              <w:jc w:val="center"/>
              <w:rPr>
                <w:b/>
                <w:bCs/>
                <w:sz w:val="18"/>
                <w:szCs w:val="18"/>
              </w:rPr>
            </w:pPr>
          </w:p>
          <w:p w14:paraId="642F0525" w14:textId="77777777" w:rsidR="004036E1" w:rsidRDefault="004036E1" w:rsidP="00E31F6E">
            <w:pPr>
              <w:pStyle w:val="Piedepgina"/>
              <w:spacing w:line="252" w:lineRule="auto"/>
              <w:jc w:val="center"/>
              <w:rPr>
                <w:b/>
                <w:bCs/>
                <w:sz w:val="18"/>
                <w:szCs w:val="18"/>
              </w:rPr>
            </w:pPr>
          </w:p>
          <w:p w14:paraId="7AE543D7" w14:textId="77777777" w:rsidR="004036E1" w:rsidRDefault="004036E1" w:rsidP="00E31F6E">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5" w:history="1">
              <w:r w:rsidRPr="009D144E">
                <w:rPr>
                  <w:rStyle w:val="Hipervnculo"/>
                  <w:sz w:val="18"/>
                  <w:szCs w:val="18"/>
                </w:rPr>
                <w:t>laura.martinez@iahorro.com</w:t>
              </w:r>
            </w:hyperlink>
          </w:p>
          <w:p w14:paraId="4868826C" w14:textId="77777777" w:rsidR="004036E1" w:rsidRDefault="004036E1" w:rsidP="00E31F6E">
            <w:pPr>
              <w:pStyle w:val="Piedepgina"/>
              <w:spacing w:line="252" w:lineRule="auto"/>
              <w:jc w:val="center"/>
              <w:rPr>
                <w:b/>
                <w:bCs/>
                <w:sz w:val="18"/>
                <w:szCs w:val="18"/>
                <w:lang w:val="pt-PT"/>
              </w:rPr>
            </w:pPr>
          </w:p>
          <w:p w14:paraId="6C6031B0" w14:textId="77777777" w:rsidR="004036E1" w:rsidRDefault="004036E1" w:rsidP="00E31F6E">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415F1F94" w14:textId="77777777" w:rsidR="004036E1" w:rsidRDefault="004036E1" w:rsidP="00E31F6E">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6" w:history="1">
              <w:r>
                <w:rPr>
                  <w:rStyle w:val="Hipervnculo"/>
                  <w:sz w:val="18"/>
                  <w:szCs w:val="18"/>
                  <w:lang w:val="pt-PT"/>
                </w:rPr>
                <w:t>noelia.perez@iahorro.com</w:t>
              </w:r>
            </w:hyperlink>
          </w:p>
        </w:tc>
      </w:tr>
    </w:tbl>
    <w:p w14:paraId="57F5B3EE" w14:textId="77777777" w:rsidR="004036E1" w:rsidRPr="00E145E9" w:rsidRDefault="004036E1" w:rsidP="004036E1">
      <w:pPr>
        <w:rPr>
          <w:lang w:val="pt-PT"/>
        </w:rPr>
      </w:pPr>
    </w:p>
    <w:p w14:paraId="0804889B" w14:textId="77777777" w:rsidR="004036E1" w:rsidRPr="00E145E9" w:rsidRDefault="004036E1" w:rsidP="004036E1">
      <w:pPr>
        <w:rPr>
          <w:lang w:val="pt-PT"/>
        </w:rPr>
      </w:pPr>
    </w:p>
    <w:p w14:paraId="30F95F4D" w14:textId="77777777" w:rsidR="004036E1" w:rsidRPr="00E145E9" w:rsidRDefault="004036E1" w:rsidP="004036E1">
      <w:pPr>
        <w:rPr>
          <w:lang w:val="pt-PT"/>
        </w:rPr>
      </w:pPr>
    </w:p>
    <w:p w14:paraId="69C9E144" w14:textId="77777777" w:rsidR="004036E1" w:rsidRPr="00E145E9" w:rsidRDefault="004036E1" w:rsidP="004036E1">
      <w:pPr>
        <w:rPr>
          <w:lang w:val="pt-PT"/>
        </w:rPr>
      </w:pPr>
    </w:p>
    <w:p w14:paraId="7934C2E0" w14:textId="77777777" w:rsidR="00A07969" w:rsidRPr="00E145E9" w:rsidRDefault="00A07969">
      <w:pPr>
        <w:rPr>
          <w:lang w:val="pt-PT"/>
        </w:rPr>
      </w:pPr>
    </w:p>
    <w:sectPr w:rsidR="00A07969" w:rsidRPr="00E145E9" w:rsidSect="004036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uli">
    <w:altName w:val="Calibri"/>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E1"/>
    <w:rsid w:val="00073C55"/>
    <w:rsid w:val="000C312F"/>
    <w:rsid w:val="00250067"/>
    <w:rsid w:val="002702F0"/>
    <w:rsid w:val="004036E1"/>
    <w:rsid w:val="004040EF"/>
    <w:rsid w:val="00435CE1"/>
    <w:rsid w:val="0044137E"/>
    <w:rsid w:val="00542EEA"/>
    <w:rsid w:val="00617F21"/>
    <w:rsid w:val="006921F0"/>
    <w:rsid w:val="007879BF"/>
    <w:rsid w:val="008F13EB"/>
    <w:rsid w:val="00930623"/>
    <w:rsid w:val="00A07969"/>
    <w:rsid w:val="00A62570"/>
    <w:rsid w:val="00A651BF"/>
    <w:rsid w:val="00A7693A"/>
    <w:rsid w:val="00AA2DEF"/>
    <w:rsid w:val="00AE051E"/>
    <w:rsid w:val="00AE2CAC"/>
    <w:rsid w:val="00BC31BD"/>
    <w:rsid w:val="00BC7A2C"/>
    <w:rsid w:val="00BF1FA4"/>
    <w:rsid w:val="00DD2E58"/>
    <w:rsid w:val="00E04594"/>
    <w:rsid w:val="00E145E9"/>
    <w:rsid w:val="00EE2C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2E96"/>
  <w15:chartTrackingRefBased/>
  <w15:docId w15:val="{889EFFE1-E40E-4B44-8CE3-4CEB5E29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4036E1"/>
    <w:pPr>
      <w:spacing w:after="0" w:line="240" w:lineRule="auto"/>
    </w:pPr>
    <w:rPr>
      <w:rFonts w:ascii="Calibri" w:hAnsi="Calibri" w:cs="Calibri"/>
      <w:kern w:val="0"/>
      <w:sz w:val="22"/>
      <w:szCs w:val="22"/>
    </w:rPr>
  </w:style>
  <w:style w:type="paragraph" w:styleId="Ttulo1">
    <w:name w:val="heading 1"/>
    <w:basedOn w:val="Normal"/>
    <w:next w:val="Normal"/>
    <w:link w:val="Ttulo1Car"/>
    <w:uiPriority w:val="9"/>
    <w:qFormat/>
    <w:rsid w:val="004036E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Ttulo2">
    <w:name w:val="heading 2"/>
    <w:basedOn w:val="Normal"/>
    <w:next w:val="Normal"/>
    <w:link w:val="Ttulo2Car"/>
    <w:uiPriority w:val="9"/>
    <w:semiHidden/>
    <w:unhideWhenUsed/>
    <w:qFormat/>
    <w:rsid w:val="004036E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Ttulo3">
    <w:name w:val="heading 3"/>
    <w:basedOn w:val="Normal"/>
    <w:next w:val="Normal"/>
    <w:link w:val="Ttulo3Car"/>
    <w:uiPriority w:val="9"/>
    <w:semiHidden/>
    <w:unhideWhenUsed/>
    <w:qFormat/>
    <w:rsid w:val="004036E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Ttulo4">
    <w:name w:val="heading 4"/>
    <w:basedOn w:val="Normal"/>
    <w:next w:val="Normal"/>
    <w:link w:val="Ttulo4Car"/>
    <w:uiPriority w:val="9"/>
    <w:semiHidden/>
    <w:unhideWhenUsed/>
    <w:qFormat/>
    <w:rsid w:val="004036E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rPr>
  </w:style>
  <w:style w:type="paragraph" w:styleId="Ttulo5">
    <w:name w:val="heading 5"/>
    <w:basedOn w:val="Normal"/>
    <w:next w:val="Normal"/>
    <w:link w:val="Ttulo5Car"/>
    <w:uiPriority w:val="9"/>
    <w:semiHidden/>
    <w:unhideWhenUsed/>
    <w:qFormat/>
    <w:rsid w:val="004036E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rPr>
  </w:style>
  <w:style w:type="paragraph" w:styleId="Ttulo6">
    <w:name w:val="heading 6"/>
    <w:basedOn w:val="Normal"/>
    <w:next w:val="Normal"/>
    <w:link w:val="Ttulo6Car"/>
    <w:uiPriority w:val="9"/>
    <w:semiHidden/>
    <w:unhideWhenUsed/>
    <w:qFormat/>
    <w:rsid w:val="004036E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Ttulo7">
    <w:name w:val="heading 7"/>
    <w:basedOn w:val="Normal"/>
    <w:next w:val="Normal"/>
    <w:link w:val="Ttulo7Car"/>
    <w:uiPriority w:val="9"/>
    <w:semiHidden/>
    <w:unhideWhenUsed/>
    <w:qFormat/>
    <w:rsid w:val="004036E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Ttulo8">
    <w:name w:val="heading 8"/>
    <w:basedOn w:val="Normal"/>
    <w:next w:val="Normal"/>
    <w:link w:val="Ttulo8Car"/>
    <w:uiPriority w:val="9"/>
    <w:semiHidden/>
    <w:unhideWhenUsed/>
    <w:qFormat/>
    <w:rsid w:val="004036E1"/>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Ttulo9">
    <w:name w:val="heading 9"/>
    <w:basedOn w:val="Normal"/>
    <w:next w:val="Normal"/>
    <w:link w:val="Ttulo9Car"/>
    <w:uiPriority w:val="9"/>
    <w:semiHidden/>
    <w:unhideWhenUsed/>
    <w:qFormat/>
    <w:rsid w:val="004036E1"/>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36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36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36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36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36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36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36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36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36E1"/>
    <w:rPr>
      <w:rFonts w:eastAsiaTheme="majorEastAsia" w:cstheme="majorBidi"/>
      <w:color w:val="272727" w:themeColor="text1" w:themeTint="D8"/>
    </w:rPr>
  </w:style>
  <w:style w:type="paragraph" w:styleId="Ttulo">
    <w:name w:val="Title"/>
    <w:basedOn w:val="Normal"/>
    <w:next w:val="Normal"/>
    <w:link w:val="TtuloCar"/>
    <w:uiPriority w:val="10"/>
    <w:qFormat/>
    <w:rsid w:val="004036E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36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36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tuloCar">
    <w:name w:val="Subtítulo Car"/>
    <w:basedOn w:val="Fuentedeprrafopredeter"/>
    <w:link w:val="Subttulo"/>
    <w:uiPriority w:val="11"/>
    <w:rsid w:val="004036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36E1"/>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CitaCar">
    <w:name w:val="Cita Car"/>
    <w:basedOn w:val="Fuentedeprrafopredeter"/>
    <w:link w:val="Cita"/>
    <w:uiPriority w:val="29"/>
    <w:rsid w:val="004036E1"/>
    <w:rPr>
      <w:i/>
      <w:iCs/>
      <w:color w:val="404040" w:themeColor="text1" w:themeTint="BF"/>
    </w:rPr>
  </w:style>
  <w:style w:type="paragraph" w:styleId="Prrafodelista">
    <w:name w:val="List Paragraph"/>
    <w:basedOn w:val="Normal"/>
    <w:uiPriority w:val="34"/>
    <w:qFormat/>
    <w:rsid w:val="004036E1"/>
    <w:pPr>
      <w:spacing w:after="160" w:line="278" w:lineRule="auto"/>
      <w:ind w:left="720"/>
      <w:contextualSpacing/>
    </w:pPr>
    <w:rPr>
      <w:rFonts w:asciiTheme="minorHAnsi" w:hAnsiTheme="minorHAnsi" w:cstheme="minorBidi"/>
      <w:kern w:val="2"/>
      <w:sz w:val="24"/>
      <w:szCs w:val="24"/>
    </w:rPr>
  </w:style>
  <w:style w:type="character" w:styleId="nfasisintenso">
    <w:name w:val="Intense Emphasis"/>
    <w:basedOn w:val="Fuentedeprrafopredeter"/>
    <w:uiPriority w:val="21"/>
    <w:qFormat/>
    <w:rsid w:val="004036E1"/>
    <w:rPr>
      <w:i/>
      <w:iCs/>
      <w:color w:val="0F4761" w:themeColor="accent1" w:themeShade="BF"/>
    </w:rPr>
  </w:style>
  <w:style w:type="paragraph" w:styleId="Citadestacada">
    <w:name w:val="Intense Quote"/>
    <w:basedOn w:val="Normal"/>
    <w:next w:val="Normal"/>
    <w:link w:val="CitadestacadaCar"/>
    <w:uiPriority w:val="30"/>
    <w:qFormat/>
    <w:rsid w:val="004036E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rPr>
  </w:style>
  <w:style w:type="character" w:customStyle="1" w:styleId="CitadestacadaCar">
    <w:name w:val="Cita destacada Car"/>
    <w:basedOn w:val="Fuentedeprrafopredeter"/>
    <w:link w:val="Citadestacada"/>
    <w:uiPriority w:val="30"/>
    <w:rsid w:val="004036E1"/>
    <w:rPr>
      <w:i/>
      <w:iCs/>
      <w:color w:val="0F4761" w:themeColor="accent1" w:themeShade="BF"/>
    </w:rPr>
  </w:style>
  <w:style w:type="character" w:styleId="Referenciaintensa">
    <w:name w:val="Intense Reference"/>
    <w:basedOn w:val="Fuentedeprrafopredeter"/>
    <w:uiPriority w:val="32"/>
    <w:qFormat/>
    <w:rsid w:val="004036E1"/>
    <w:rPr>
      <w:b/>
      <w:bCs/>
      <w:smallCaps/>
      <w:color w:val="0F4761" w:themeColor="accent1" w:themeShade="BF"/>
      <w:spacing w:val="5"/>
    </w:rPr>
  </w:style>
  <w:style w:type="character" w:customStyle="1" w:styleId="contentpasted0">
    <w:name w:val="contentpasted0"/>
    <w:basedOn w:val="Fuentedeprrafopredeter"/>
    <w:rsid w:val="004036E1"/>
  </w:style>
  <w:style w:type="paragraph" w:customStyle="1" w:styleId="xmsonormal">
    <w:name w:val="x_msonormal"/>
    <w:basedOn w:val="Normal"/>
    <w:uiPriority w:val="99"/>
    <w:rsid w:val="004036E1"/>
    <w:rPr>
      <w:lang w:eastAsia="es-ES"/>
      <w14:ligatures w14:val="none"/>
    </w:rPr>
  </w:style>
  <w:style w:type="paragraph" w:customStyle="1" w:styleId="paragraph">
    <w:name w:val="paragraph"/>
    <w:basedOn w:val="Normal"/>
    <w:rsid w:val="004036E1"/>
    <w:pPr>
      <w:spacing w:before="100" w:beforeAutospacing="1" w:after="100" w:afterAutospacing="1"/>
    </w:pPr>
    <w:rPr>
      <w:rFonts w:ascii="Times New Roman" w:hAnsi="Times New Roman" w:cs="Times New Roman"/>
      <w:sz w:val="24"/>
      <w:szCs w:val="24"/>
      <w:lang w:eastAsia="es-ES"/>
      <w14:ligatures w14:val="none"/>
    </w:rPr>
  </w:style>
  <w:style w:type="paragraph" w:styleId="Piedepgina">
    <w:name w:val="footer"/>
    <w:basedOn w:val="Normal"/>
    <w:link w:val="PiedepginaCar"/>
    <w:uiPriority w:val="99"/>
    <w:unhideWhenUsed/>
    <w:rsid w:val="004036E1"/>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4036E1"/>
    <w:rPr>
      <w:kern w:val="0"/>
      <w:sz w:val="22"/>
      <w:szCs w:val="22"/>
      <w14:ligatures w14:val="none"/>
    </w:rPr>
  </w:style>
  <w:style w:type="character" w:styleId="Hipervnculo">
    <w:name w:val="Hyperlink"/>
    <w:basedOn w:val="Fuentedeprrafopredeter"/>
    <w:uiPriority w:val="99"/>
    <w:unhideWhenUsed/>
    <w:rsid w:val="004036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elia.perez@iahorro.com" TargetMode="External"/><Relationship Id="rId5" Type="http://schemas.openxmlformats.org/officeDocument/2006/relationships/hyperlink" Target="mailto:laura.martinez@iahorro.com"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2551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García Bruno</dc:creator>
  <cp:keywords/>
  <dc:description/>
  <cp:lastModifiedBy>Nerea Gastesi</cp:lastModifiedBy>
  <cp:revision>2</cp:revision>
  <dcterms:created xsi:type="dcterms:W3CDTF">2026-09-09T07:24:00Z</dcterms:created>
  <dcterms:modified xsi:type="dcterms:W3CDTF">2026-09-09T07:24:00Z</dcterms:modified>
</cp:coreProperties>
</file>