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AB9F8" w14:textId="77777777" w:rsidR="0054515D" w:rsidRDefault="0054515D" w:rsidP="0054515D">
      <w:pPr>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Laura Martínez </w:t>
      </w:r>
    </w:p>
    <w:p w14:paraId="5DB17C1A" w14:textId="6A202A4A" w:rsidR="0054515D" w:rsidRDefault="005828DA" w:rsidP="00D815CB">
      <w:pPr>
        <w:pStyle w:val="xmsonormal"/>
        <w:spacing w:after="160"/>
        <w:jc w:val="center"/>
        <w:rPr>
          <w:rFonts w:ascii="Muli" w:hAnsi="Muli"/>
          <w:sz w:val="24"/>
          <w:szCs w:val="24"/>
        </w:rPr>
      </w:pPr>
      <w:r>
        <w:rPr>
          <w:rFonts w:ascii="Montserrat" w:hAnsi="Montserrat"/>
          <w:b/>
          <w:bCs/>
          <w:color w:val="243962"/>
          <w:sz w:val="32"/>
          <w:szCs w:val="32"/>
        </w:rPr>
        <w:t xml:space="preserve">El BCE </w:t>
      </w:r>
      <w:r w:rsidR="00106843">
        <w:rPr>
          <w:rFonts w:ascii="Montserrat" w:hAnsi="Montserrat"/>
          <w:b/>
          <w:bCs/>
          <w:color w:val="243962"/>
          <w:sz w:val="32"/>
          <w:szCs w:val="32"/>
        </w:rPr>
        <w:t xml:space="preserve">retrasa, de momento, la subida de tipos al </w:t>
      </w:r>
      <w:r w:rsidR="00D815CB">
        <w:rPr>
          <w:rFonts w:ascii="Montserrat" w:hAnsi="Montserrat"/>
          <w:b/>
          <w:bCs/>
          <w:color w:val="243962"/>
          <w:sz w:val="32"/>
          <w:szCs w:val="32"/>
        </w:rPr>
        <w:t>verano</w:t>
      </w:r>
    </w:p>
    <w:p w14:paraId="7CF2E7D4" w14:textId="339E916C" w:rsidR="0054515D" w:rsidRPr="00AC043F" w:rsidRDefault="0054515D" w:rsidP="0054515D">
      <w:pPr>
        <w:rPr>
          <w:rFonts w:ascii="Muli" w:hAnsi="Muli"/>
          <w:sz w:val="24"/>
          <w:szCs w:val="24"/>
        </w:rPr>
      </w:pPr>
      <w:r w:rsidRPr="200BADFB">
        <w:rPr>
          <w:rFonts w:ascii="Muli" w:hAnsi="Muli"/>
          <w:sz w:val="24"/>
          <w:szCs w:val="24"/>
        </w:rPr>
        <w:t xml:space="preserve">Madrid, </w:t>
      </w:r>
      <w:r>
        <w:rPr>
          <w:rFonts w:ascii="Muli" w:hAnsi="Muli"/>
          <w:sz w:val="24"/>
          <w:szCs w:val="24"/>
        </w:rPr>
        <w:t>30</w:t>
      </w:r>
      <w:r>
        <w:rPr>
          <w:rFonts w:ascii="Muli" w:hAnsi="Muli"/>
          <w:sz w:val="24"/>
          <w:szCs w:val="24"/>
        </w:rPr>
        <w:t xml:space="preserve"> de </w:t>
      </w:r>
      <w:r>
        <w:rPr>
          <w:rFonts w:ascii="Muli" w:hAnsi="Muli"/>
          <w:sz w:val="24"/>
          <w:szCs w:val="24"/>
        </w:rPr>
        <w:t>abril</w:t>
      </w:r>
      <w:r>
        <w:rPr>
          <w:rFonts w:ascii="Muli" w:hAnsi="Muli"/>
          <w:sz w:val="24"/>
          <w:szCs w:val="24"/>
        </w:rPr>
        <w:t xml:space="preserve"> de 2026</w:t>
      </w:r>
    </w:p>
    <w:p w14:paraId="7E4AB4D8" w14:textId="09449311" w:rsidR="002C0FAE" w:rsidRPr="002C0FAE" w:rsidRDefault="00B900E0" w:rsidP="002C0FAE">
      <w:pPr>
        <w:rPr>
          <w:rFonts w:ascii="Muli" w:hAnsi="Muli"/>
        </w:rPr>
      </w:pPr>
      <w:r>
        <w:rPr>
          <w:rFonts w:ascii="Muli" w:hAnsi="Muli"/>
        </w:rPr>
        <w:t>“</w:t>
      </w:r>
      <w:r w:rsidR="002C0FAE" w:rsidRPr="002C0FAE">
        <w:rPr>
          <w:rFonts w:ascii="Muli" w:hAnsi="Muli"/>
        </w:rPr>
        <w:t>El Consejo de Gobierno del Banco Central Europeo se reúne este 30 de abril en una cita marcada por una incertidumbre geopolítica excepcional. La presión inflacionista, impulsada principalmente por la energía y la crisis en Oriente Próximo, ha frenado las expectativas de recortes de tipos que el mercado anticipaba a principios de año.</w:t>
      </w:r>
    </w:p>
    <w:p w14:paraId="794E68A5" w14:textId="46AD4EBF" w:rsidR="002C0FAE" w:rsidRPr="002C0FAE" w:rsidRDefault="002C0FAE" w:rsidP="002C0FAE">
      <w:pPr>
        <w:rPr>
          <w:rFonts w:ascii="Muli" w:hAnsi="Muli"/>
        </w:rPr>
      </w:pPr>
      <w:r w:rsidRPr="002C0FAE">
        <w:rPr>
          <w:rFonts w:ascii="Muli" w:hAnsi="Muli"/>
        </w:rPr>
        <w:t>A pesar de la tentación de endurecer la política monetaria ante el repunte de los precios, el organismo europeo optará por mantener el tipo de interés en el 2,00%. Ante esta compleja coyuntura, la institución se mantiene cautelosa con el tipo de interés, ya que la inflación se mantiene en datos controlados y una posible subida podría perjudicar a las economías familiares. Sin embargo, esto no descarta la posibilidad de que en los próximos meses suba el tipo de interés</w:t>
      </w:r>
      <w:r w:rsidR="00B900E0">
        <w:rPr>
          <w:rFonts w:ascii="Muli" w:hAnsi="Muli"/>
        </w:rPr>
        <w:t>.</w:t>
      </w:r>
    </w:p>
    <w:p w14:paraId="473F7F47" w14:textId="01E87FEE" w:rsidR="002C0FAE" w:rsidRPr="002C0FAE" w:rsidRDefault="002C0FAE" w:rsidP="002C0FAE">
      <w:pPr>
        <w:rPr>
          <w:rFonts w:ascii="Muli" w:hAnsi="Muli"/>
        </w:rPr>
      </w:pPr>
      <w:r w:rsidRPr="002C0FAE">
        <w:rPr>
          <w:rFonts w:ascii="Muli" w:hAnsi="Muli"/>
        </w:rPr>
        <w:t>La decisión de no precipitarse responde a un delicado equilibrio. El aumento de la inflación, aunque preocupante, está ligado a factores energéticos específicos más que a un sobrecalentamiento general de la economía. Como bien destacan otros analistas, el endurecimiento de las condiciones financieras ya está siendo ejecutado, en gran medida, por el propio mercado, con los rendimientos del Bund alemán superando el 3%.</w:t>
      </w:r>
    </w:p>
    <w:p w14:paraId="55A3F5B8" w14:textId="5D57FDEC" w:rsidR="002C0FAE" w:rsidRPr="002C0FAE" w:rsidRDefault="002C0FAE" w:rsidP="002C0FAE">
      <w:pPr>
        <w:rPr>
          <w:rFonts w:ascii="Muli" w:hAnsi="Muli"/>
        </w:rPr>
      </w:pPr>
      <w:r w:rsidRPr="002C0FAE">
        <w:rPr>
          <w:rFonts w:ascii="Muli" w:hAnsi="Muli"/>
        </w:rPr>
        <w:t>La guerra en Irán ha cambiado el tablero de juego. El cierre del estrecho de Ormuz ha disparado el precio del barril de petróleo por encima de los 100 dólares, afectando tanto al transporte aéreo</w:t>
      </w:r>
      <w:r w:rsidR="00004DDF">
        <w:rPr>
          <w:rFonts w:ascii="Muli" w:hAnsi="Muli"/>
        </w:rPr>
        <w:t>,</w:t>
      </w:r>
      <w:r w:rsidR="004A41DA">
        <w:rPr>
          <w:rFonts w:ascii="Muli" w:hAnsi="Muli"/>
        </w:rPr>
        <w:t xml:space="preserve"> </w:t>
      </w:r>
      <w:r w:rsidRPr="002C0FAE">
        <w:rPr>
          <w:rFonts w:ascii="Muli" w:hAnsi="Muli"/>
        </w:rPr>
        <w:t>que ya sufre cancelaciones por ahorro de combustible</w:t>
      </w:r>
      <w:r w:rsidR="004A41DA">
        <w:rPr>
          <w:rFonts w:ascii="Muli" w:hAnsi="Muli"/>
        </w:rPr>
        <w:t>,</w:t>
      </w:r>
      <w:r w:rsidRPr="002C0FAE">
        <w:rPr>
          <w:rFonts w:ascii="Muli" w:hAnsi="Muli"/>
        </w:rPr>
        <w:t xml:space="preserve"> como a la agricultura, debido a la escasez de fertilizantes.</w:t>
      </w:r>
    </w:p>
    <w:p w14:paraId="0DC560E3" w14:textId="77777777" w:rsidR="002C0FAE" w:rsidRPr="002C0FAE" w:rsidRDefault="002C0FAE" w:rsidP="002C0FAE">
      <w:pPr>
        <w:rPr>
          <w:rFonts w:ascii="Muli" w:hAnsi="Muli"/>
        </w:rPr>
      </w:pPr>
      <w:r w:rsidRPr="002C0FAE">
        <w:rPr>
          <w:rFonts w:ascii="Muli" w:hAnsi="Muli"/>
        </w:rPr>
        <w:t>Comparado con la situación de 2022 tras la invasión de Rusia a Ucrania, el mercado laboral es ahora más débil y el margen presupuestario de los gobiernos, ya altamente endeudados, es notablemente más estrecho, lo que limita la capacidad de respuesta fiscal.</w:t>
      </w:r>
    </w:p>
    <w:p w14:paraId="487B232A" w14:textId="77777777" w:rsidR="002C0FAE" w:rsidRPr="002C0FAE" w:rsidRDefault="002C0FAE" w:rsidP="002C0FAE">
      <w:pPr>
        <w:rPr>
          <w:rFonts w:ascii="Muli" w:hAnsi="Muli"/>
        </w:rPr>
      </w:pPr>
      <w:r w:rsidRPr="002C0FAE">
        <w:rPr>
          <w:rFonts w:ascii="Muli" w:hAnsi="Muli"/>
        </w:rPr>
        <w:t>Mientras el Banco de Japón mantiene sus tipos en el 0,75% y la Reserva Federal y el Banco de Inglaterra optan por la prudencia en sus rangos de 3,5%-3,75%, el BCE observa cómo la tasa de inflación en la eurozona ascendió al 2,6% en marzo.</w:t>
      </w:r>
    </w:p>
    <w:p w14:paraId="63B299B1" w14:textId="2354208F" w:rsidR="0054515D" w:rsidRDefault="004A41DA" w:rsidP="002C0FAE">
      <w:pPr>
        <w:rPr>
          <w:rFonts w:ascii="Montserrat" w:hAnsi="Montserrat"/>
          <w:b/>
          <w:bCs/>
          <w:color w:val="243962"/>
          <w:bdr w:val="none" w:sz="0" w:space="0" w:color="auto" w:frame="1"/>
          <w:shd w:val="clear" w:color="auto" w:fill="FFFFFF"/>
        </w:rPr>
      </w:pPr>
      <w:r>
        <w:rPr>
          <w:rFonts w:ascii="Muli" w:hAnsi="Muli"/>
        </w:rPr>
        <w:t xml:space="preserve">A pesar de que ahora el BCE no mueva ficha, </w:t>
      </w:r>
      <w:r w:rsidR="002C0FAE" w:rsidRPr="002C0FAE">
        <w:rPr>
          <w:rFonts w:ascii="Muli" w:hAnsi="Muli"/>
        </w:rPr>
        <w:t>el mercado ya descuenta una posible subida en junio si la presión sobre las materias primas persiste o se generaliza. En definitiva, el BCE apuesta por la paciencia mientras evalúa el impacto real de estos encarecimientos en el consumo y la inversión de los hogares europeos</w:t>
      </w:r>
      <w:r w:rsidR="005828DA">
        <w:rPr>
          <w:rFonts w:ascii="Muli" w:hAnsi="Muli"/>
        </w:rPr>
        <w:t>”</w:t>
      </w:r>
      <w:r w:rsidR="002C0FAE" w:rsidRPr="002C0FAE">
        <w:rPr>
          <w:rFonts w:ascii="Muli" w:hAnsi="Muli"/>
        </w:rPr>
        <w:t>.</w:t>
      </w:r>
    </w:p>
    <w:p w14:paraId="0994B986" w14:textId="77777777" w:rsidR="00432ACF" w:rsidRDefault="00432ACF"/>
    <w:p w14:paraId="2A068EC9" w14:textId="77777777" w:rsidR="00432ACF" w:rsidRPr="005C61A7" w:rsidRDefault="00432ACF" w:rsidP="00432ACF">
      <w:pPr>
        <w:pStyle w:val="paragraph"/>
        <w:spacing w:before="240"/>
        <w:textAlignment w:val="baseline"/>
        <w:rPr>
          <w:rStyle w:val="contentpasted0"/>
          <w:rFonts w:ascii="Muli" w:hAnsi="Muli"/>
        </w:rPr>
      </w:pPr>
      <w:r>
        <w:rPr>
          <w:rStyle w:val="contentpasted0"/>
          <w:rFonts w:ascii="Muli" w:hAnsi="Muli"/>
          <w:color w:val="000000"/>
          <w:u w:val="single"/>
        </w:rPr>
        <w:t>Laura Martínez, portavoz de iAhorro.</w:t>
      </w:r>
    </w:p>
    <w:p w14:paraId="58A080D9" w14:textId="77777777" w:rsidR="00432ACF" w:rsidRPr="000B5564" w:rsidRDefault="00432ACF" w:rsidP="00432ACF">
      <w:pPr>
        <w:rPr>
          <w:rStyle w:val="contentpasted0"/>
          <w:rFonts w:ascii="Muli" w:hAnsi="Muli"/>
          <w:color w:val="000000"/>
          <w:sz w:val="24"/>
          <w:szCs w:val="24"/>
          <w:u w:val="single"/>
        </w:rPr>
      </w:pPr>
    </w:p>
    <w:p w14:paraId="207BD7C8" w14:textId="77777777" w:rsidR="00432ACF" w:rsidRDefault="00432ACF" w:rsidP="00432ACF">
      <w:pPr>
        <w:rPr>
          <w:rStyle w:val="contentpasted0"/>
          <w:rFonts w:ascii="Muli" w:hAnsi="Muli"/>
          <w:i/>
          <w:iCs/>
          <w:color w:val="000000"/>
          <w:u w:val="single"/>
        </w:rPr>
      </w:pPr>
    </w:p>
    <w:p w14:paraId="4A11CA0E" w14:textId="77777777" w:rsidR="00432ACF" w:rsidRDefault="00432ACF" w:rsidP="00432ACF">
      <w:pPr>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55"/>
        <w:gridCol w:w="2521"/>
      </w:tblGrid>
      <w:tr w:rsidR="00432ACF" w:rsidRPr="00D6110B" w14:paraId="1236BE6D" w14:textId="77777777" w:rsidTr="00432ACF">
        <w:trPr>
          <w:trHeight w:val="132"/>
        </w:trPr>
        <w:tc>
          <w:tcPr>
            <w:tcW w:w="1980" w:type="dxa"/>
            <w:tcMar>
              <w:top w:w="0" w:type="dxa"/>
              <w:left w:w="108" w:type="dxa"/>
              <w:bottom w:w="0" w:type="dxa"/>
              <w:right w:w="108" w:type="dxa"/>
            </w:tcMar>
            <w:vAlign w:val="center"/>
            <w:hideMark/>
          </w:tcPr>
          <w:p w14:paraId="27814FFB" w14:textId="77777777" w:rsidR="00432ACF" w:rsidRDefault="00432ACF" w:rsidP="00662679">
            <w:pPr>
              <w:pStyle w:val="Piedepgina"/>
              <w:spacing w:line="252" w:lineRule="auto"/>
              <w:rPr>
                <w:rFonts w:ascii="Aptos" w:hAnsi="Aptos" w:cs="Aptos"/>
                <w:b/>
                <w:bCs/>
                <w:sz w:val="18"/>
                <w:szCs w:val="18"/>
              </w:rPr>
            </w:pPr>
            <w:r>
              <w:rPr>
                <w:noProof/>
              </w:rPr>
              <w:drawing>
                <wp:inline distT="0" distB="0" distL="0" distR="0" wp14:anchorId="593422EE" wp14:editId="402CDB4E">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26E6224F" w14:textId="77777777" w:rsidR="00432ACF" w:rsidRDefault="00432ACF" w:rsidP="00662679">
            <w:pPr>
              <w:pStyle w:val="Piedepgina"/>
              <w:spacing w:line="252" w:lineRule="auto"/>
              <w:jc w:val="center"/>
              <w:rPr>
                <w:b/>
                <w:bCs/>
                <w:sz w:val="18"/>
                <w:szCs w:val="18"/>
              </w:rPr>
            </w:pPr>
          </w:p>
          <w:p w14:paraId="65BEE72C" w14:textId="77777777" w:rsidR="00432ACF" w:rsidRDefault="00432ACF" w:rsidP="00662679">
            <w:pPr>
              <w:pStyle w:val="Piedepgina"/>
              <w:spacing w:line="252" w:lineRule="auto"/>
              <w:jc w:val="center"/>
              <w:rPr>
                <w:b/>
                <w:bCs/>
                <w:sz w:val="18"/>
                <w:szCs w:val="18"/>
              </w:rPr>
            </w:pPr>
          </w:p>
          <w:p w14:paraId="67B75ED8" w14:textId="77777777" w:rsidR="00432ACF" w:rsidRDefault="00432ACF" w:rsidP="00662679">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00BE78D6" w14:textId="77777777" w:rsidR="00432ACF" w:rsidRDefault="00432ACF" w:rsidP="00662679">
            <w:pPr>
              <w:pStyle w:val="Piedepgina"/>
              <w:spacing w:line="252" w:lineRule="auto"/>
              <w:jc w:val="center"/>
              <w:rPr>
                <w:b/>
                <w:bCs/>
                <w:sz w:val="18"/>
                <w:szCs w:val="18"/>
                <w:lang w:val="pt-PT"/>
              </w:rPr>
            </w:pPr>
          </w:p>
          <w:p w14:paraId="262E6097" w14:textId="77777777" w:rsidR="00432ACF" w:rsidRDefault="00432ACF" w:rsidP="00662679">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tcPr>
          <w:p w14:paraId="5C3C5932" w14:textId="03992776" w:rsidR="00432ACF" w:rsidRDefault="00432ACF" w:rsidP="00662679">
            <w:pPr>
              <w:pStyle w:val="Piedepgina"/>
              <w:spacing w:line="252" w:lineRule="auto"/>
              <w:rPr>
                <w:b/>
                <w:bCs/>
                <w:sz w:val="18"/>
                <w:szCs w:val="18"/>
                <w:lang w:val="pt-PT"/>
              </w:rPr>
            </w:pPr>
          </w:p>
        </w:tc>
      </w:tr>
    </w:tbl>
    <w:p w14:paraId="2E19ACCA" w14:textId="77777777" w:rsidR="00432ACF" w:rsidRPr="00432ACF" w:rsidRDefault="00432ACF">
      <w:pPr>
        <w:rPr>
          <w:lang w:val="pt-PT"/>
        </w:rPr>
      </w:pPr>
    </w:p>
    <w:sectPr w:rsidR="00432ACF" w:rsidRPr="00432A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uli">
    <w:altName w:val="Calibri"/>
    <w:panose1 w:val="00000000000000000000"/>
    <w:charset w:val="00"/>
    <w:family w:val="auto"/>
    <w:pitch w:val="variable"/>
    <w:sig w:usb0="A00000FF" w:usb1="5000204B" w:usb2="00000000" w:usb3="00000000" w:csb0="00000193" w:csb1="00000000"/>
  </w:font>
  <w:font w:name="Montserrat">
    <w:altName w:val="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A0"/>
    <w:rsid w:val="00004DDF"/>
    <w:rsid w:val="000B72A0"/>
    <w:rsid w:val="00106843"/>
    <w:rsid w:val="00142A50"/>
    <w:rsid w:val="00161F84"/>
    <w:rsid w:val="002C0FAE"/>
    <w:rsid w:val="00432ACF"/>
    <w:rsid w:val="004A41DA"/>
    <w:rsid w:val="00504B3D"/>
    <w:rsid w:val="0054515D"/>
    <w:rsid w:val="005828DA"/>
    <w:rsid w:val="009A5962"/>
    <w:rsid w:val="00AC4662"/>
    <w:rsid w:val="00B900E0"/>
    <w:rsid w:val="00C358C7"/>
    <w:rsid w:val="00D815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2723"/>
  <w15:chartTrackingRefBased/>
  <w15:docId w15:val="{5FA669FB-D18E-433C-8BD5-F2D426885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2A0"/>
    <w:pPr>
      <w:spacing w:line="259" w:lineRule="auto"/>
    </w:pPr>
    <w:rPr>
      <w:kern w:val="0"/>
      <w:sz w:val="22"/>
      <w:szCs w:val="22"/>
      <w14:ligatures w14:val="none"/>
    </w:rPr>
  </w:style>
  <w:style w:type="paragraph" w:styleId="Ttulo1">
    <w:name w:val="heading 1"/>
    <w:basedOn w:val="Normal"/>
    <w:next w:val="Normal"/>
    <w:link w:val="Ttulo1Car"/>
    <w:uiPriority w:val="9"/>
    <w:qFormat/>
    <w:rsid w:val="000B72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0B72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0B72A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0B72A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0B72A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0B72A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0B72A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0B72A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0B72A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72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B72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B72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B72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B72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B72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72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72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72A0"/>
    <w:rPr>
      <w:rFonts w:eastAsiaTheme="majorEastAsia" w:cstheme="majorBidi"/>
      <w:color w:val="272727" w:themeColor="text1" w:themeTint="D8"/>
    </w:rPr>
  </w:style>
  <w:style w:type="paragraph" w:styleId="Ttulo">
    <w:name w:val="Title"/>
    <w:basedOn w:val="Normal"/>
    <w:next w:val="Normal"/>
    <w:link w:val="TtuloCar"/>
    <w:uiPriority w:val="10"/>
    <w:qFormat/>
    <w:rsid w:val="000B72A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0B72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72A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0B72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72A0"/>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0B72A0"/>
    <w:rPr>
      <w:i/>
      <w:iCs/>
      <w:color w:val="404040" w:themeColor="text1" w:themeTint="BF"/>
    </w:rPr>
  </w:style>
  <w:style w:type="paragraph" w:styleId="Prrafodelista">
    <w:name w:val="List Paragraph"/>
    <w:basedOn w:val="Normal"/>
    <w:uiPriority w:val="34"/>
    <w:qFormat/>
    <w:rsid w:val="000B72A0"/>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0B72A0"/>
    <w:rPr>
      <w:i/>
      <w:iCs/>
      <w:color w:val="0F4761" w:themeColor="accent1" w:themeShade="BF"/>
    </w:rPr>
  </w:style>
  <w:style w:type="paragraph" w:styleId="Citadestacada">
    <w:name w:val="Intense Quote"/>
    <w:basedOn w:val="Normal"/>
    <w:next w:val="Normal"/>
    <w:link w:val="CitadestacadaCar"/>
    <w:uiPriority w:val="30"/>
    <w:qFormat/>
    <w:rsid w:val="000B72A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0B72A0"/>
    <w:rPr>
      <w:i/>
      <w:iCs/>
      <w:color w:val="0F4761" w:themeColor="accent1" w:themeShade="BF"/>
    </w:rPr>
  </w:style>
  <w:style w:type="character" w:styleId="Referenciaintensa">
    <w:name w:val="Intense Reference"/>
    <w:basedOn w:val="Fuentedeprrafopredeter"/>
    <w:uiPriority w:val="32"/>
    <w:qFormat/>
    <w:rsid w:val="000B72A0"/>
    <w:rPr>
      <w:b/>
      <w:bCs/>
      <w:smallCaps/>
      <w:color w:val="0F4761" w:themeColor="accent1" w:themeShade="BF"/>
      <w:spacing w:val="5"/>
    </w:rPr>
  </w:style>
  <w:style w:type="character" w:customStyle="1" w:styleId="contentpasted0">
    <w:name w:val="contentpasted0"/>
    <w:basedOn w:val="Fuentedeprrafopredeter"/>
    <w:rsid w:val="0054515D"/>
  </w:style>
  <w:style w:type="paragraph" w:customStyle="1" w:styleId="xmsonormal">
    <w:name w:val="x_msonormal"/>
    <w:basedOn w:val="Normal"/>
    <w:uiPriority w:val="99"/>
    <w:rsid w:val="0054515D"/>
    <w:pPr>
      <w:spacing w:after="0" w:line="240" w:lineRule="auto"/>
    </w:pPr>
    <w:rPr>
      <w:rFonts w:ascii="Calibri" w:hAnsi="Calibri" w:cs="Calibri"/>
      <w:lang w:eastAsia="es-ES"/>
    </w:rPr>
  </w:style>
  <w:style w:type="paragraph" w:customStyle="1" w:styleId="paragraph">
    <w:name w:val="paragraph"/>
    <w:basedOn w:val="Normal"/>
    <w:rsid w:val="00432ACF"/>
    <w:pPr>
      <w:spacing w:before="100" w:beforeAutospacing="1" w:after="100" w:afterAutospacing="1" w:line="240" w:lineRule="auto"/>
    </w:pPr>
    <w:rPr>
      <w:rFonts w:ascii="Times New Roman" w:hAnsi="Times New Roman" w:cs="Times New Roman"/>
      <w:sz w:val="24"/>
      <w:szCs w:val="24"/>
      <w:lang w:eastAsia="es-ES"/>
    </w:rPr>
  </w:style>
  <w:style w:type="paragraph" w:styleId="Piedepgina">
    <w:name w:val="footer"/>
    <w:basedOn w:val="Normal"/>
    <w:link w:val="PiedepginaCar"/>
    <w:uiPriority w:val="99"/>
    <w:unhideWhenUsed/>
    <w:rsid w:val="00432A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32ACF"/>
    <w:rPr>
      <w:kern w:val="0"/>
      <w:sz w:val="22"/>
      <w:szCs w:val="22"/>
      <w14:ligatures w14:val="none"/>
    </w:rPr>
  </w:style>
  <w:style w:type="character" w:styleId="Hipervnculo">
    <w:name w:val="Hyperlink"/>
    <w:basedOn w:val="Fuentedeprrafopredeter"/>
    <w:uiPriority w:val="99"/>
    <w:unhideWhenUsed/>
    <w:rsid w:val="00432AC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427</Words>
  <Characters>2353</Characters>
  <Application>Microsoft Office Word</Application>
  <DocSecurity>0</DocSecurity>
  <Lines>19</Lines>
  <Paragraphs>5</Paragraphs>
  <ScaleCrop>false</ScaleCrop>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Martinez</dc:creator>
  <cp:keywords/>
  <dc:description/>
  <cp:lastModifiedBy>Laura Martinez</cp:lastModifiedBy>
  <cp:revision>12</cp:revision>
  <dcterms:created xsi:type="dcterms:W3CDTF">2026-04-29T08:48:00Z</dcterms:created>
  <dcterms:modified xsi:type="dcterms:W3CDTF">2026-04-29T12:59:00Z</dcterms:modified>
</cp:coreProperties>
</file>