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7A67A" w14:textId="77777777" w:rsidR="009D2A2C" w:rsidRDefault="009D2A2C" w:rsidP="009D2A2C">
      <w:pPr>
        <w:spacing w:after="160"/>
        <w:jc w:val="center"/>
        <w:rPr>
          <w:rFonts w:ascii="Times New Roman" w:hAnsi="Times New Roman" w:cs="Times New Roman"/>
          <w:color w:val="000000"/>
          <w:sz w:val="24"/>
          <w:szCs w:val="24"/>
        </w:rPr>
      </w:pPr>
      <w:r>
        <w:rPr>
          <w:rStyle w:val="contentpasted0"/>
          <w:rFonts w:ascii="Muli" w:hAnsi="Muli"/>
          <w:b/>
          <w:bCs/>
          <w:color w:val="000000"/>
          <w:sz w:val="24"/>
          <w:szCs w:val="24"/>
        </w:rPr>
        <w:t>Análisis de la decisión del BCE, por Simone Colombelli </w:t>
      </w:r>
    </w:p>
    <w:p w14:paraId="08CA848B" w14:textId="7B0D1156" w:rsidR="009D2A2C" w:rsidRDefault="009D2A2C" w:rsidP="009D2A2C">
      <w:pPr>
        <w:pStyle w:val="xmsonormal"/>
        <w:spacing w:after="160"/>
        <w:jc w:val="center"/>
        <w:rPr>
          <w:rStyle w:val="xcontentpasted0"/>
          <w:rFonts w:ascii="Montserrat" w:hAnsi="Montserrat"/>
          <w:b/>
          <w:bCs/>
          <w:color w:val="243962"/>
          <w:sz w:val="28"/>
          <w:szCs w:val="28"/>
        </w:rPr>
      </w:pPr>
      <w:r>
        <w:rPr>
          <w:rStyle w:val="xcontentpasted0"/>
          <w:rFonts w:ascii="Montserrat" w:hAnsi="Montserrat"/>
          <w:b/>
          <w:bCs/>
          <w:color w:val="243962"/>
          <w:sz w:val="28"/>
          <w:szCs w:val="28"/>
        </w:rPr>
        <w:t>El BCE no arriesga</w:t>
      </w:r>
      <w:r w:rsidR="00CE2E71">
        <w:rPr>
          <w:rStyle w:val="xcontentpasted0"/>
          <w:rFonts w:ascii="Montserrat" w:hAnsi="Montserrat"/>
          <w:b/>
          <w:bCs/>
          <w:color w:val="243962"/>
          <w:sz w:val="28"/>
          <w:szCs w:val="28"/>
        </w:rPr>
        <w:t>rá</w:t>
      </w:r>
      <w:r w:rsidR="001104C2">
        <w:rPr>
          <w:rStyle w:val="xcontentpasted0"/>
          <w:rFonts w:ascii="Montserrat" w:hAnsi="Montserrat"/>
          <w:b/>
          <w:bCs/>
          <w:color w:val="243962"/>
          <w:sz w:val="28"/>
          <w:szCs w:val="28"/>
        </w:rPr>
        <w:t xml:space="preserve"> el futuro de la inflación y recorta</w:t>
      </w:r>
      <w:r w:rsidR="00CE2E71">
        <w:rPr>
          <w:rStyle w:val="xcontentpasted0"/>
          <w:rFonts w:ascii="Montserrat" w:hAnsi="Montserrat"/>
          <w:b/>
          <w:bCs/>
          <w:color w:val="243962"/>
          <w:sz w:val="28"/>
          <w:szCs w:val="28"/>
        </w:rPr>
        <w:t>rá</w:t>
      </w:r>
      <w:r w:rsidR="001104C2">
        <w:rPr>
          <w:rStyle w:val="xcontentpasted0"/>
          <w:rFonts w:ascii="Montserrat" w:hAnsi="Montserrat"/>
          <w:b/>
          <w:bCs/>
          <w:color w:val="243962"/>
          <w:sz w:val="28"/>
          <w:szCs w:val="28"/>
        </w:rPr>
        <w:t xml:space="preserve"> 0,25 puntos </w:t>
      </w:r>
      <w:r w:rsidR="00CE2E71">
        <w:rPr>
          <w:rStyle w:val="xcontentpasted0"/>
          <w:rFonts w:ascii="Montserrat" w:hAnsi="Montserrat"/>
          <w:b/>
          <w:bCs/>
          <w:color w:val="243962"/>
          <w:sz w:val="28"/>
          <w:szCs w:val="28"/>
        </w:rPr>
        <w:t xml:space="preserve">porcentuales </w:t>
      </w:r>
      <w:r w:rsidR="001104C2">
        <w:rPr>
          <w:rStyle w:val="xcontentpasted0"/>
          <w:rFonts w:ascii="Montserrat" w:hAnsi="Montserrat"/>
          <w:b/>
          <w:bCs/>
          <w:color w:val="243962"/>
          <w:sz w:val="28"/>
          <w:szCs w:val="28"/>
        </w:rPr>
        <w:t>los tipos de interés, que terminarán 2024 en el 3%</w:t>
      </w:r>
    </w:p>
    <w:p w14:paraId="5C4B8363" w14:textId="77777777" w:rsidR="009D2A2C" w:rsidRDefault="009D2A2C" w:rsidP="009D2A2C">
      <w:pPr>
        <w:pStyle w:val="xmsonormal"/>
        <w:spacing w:after="160"/>
        <w:rPr>
          <w:rStyle w:val="xcontentpasted0"/>
          <w:rFonts w:ascii="Montserrat" w:hAnsi="Montserrat"/>
          <w:b/>
          <w:bCs/>
          <w:color w:val="243962"/>
          <w:sz w:val="28"/>
          <w:szCs w:val="28"/>
        </w:rPr>
      </w:pPr>
    </w:p>
    <w:p w14:paraId="57FC6453" w14:textId="4C563002" w:rsidR="009D2A2C" w:rsidRPr="00AC043F" w:rsidRDefault="009D2A2C" w:rsidP="009D2A2C">
      <w:pPr>
        <w:rPr>
          <w:rFonts w:ascii="Muli" w:hAnsi="Muli"/>
          <w:sz w:val="24"/>
          <w:szCs w:val="24"/>
        </w:rPr>
      </w:pPr>
      <w:r>
        <w:rPr>
          <w:rFonts w:ascii="Muli" w:hAnsi="Muli"/>
          <w:sz w:val="24"/>
          <w:szCs w:val="24"/>
        </w:rPr>
        <w:t>Madrid, 11 de diciembre de 2024</w:t>
      </w:r>
    </w:p>
    <w:p w14:paraId="08A1AB8F" w14:textId="254100FC" w:rsidR="009D2A2C" w:rsidRDefault="009D2A2C" w:rsidP="1F3D488F">
      <w:pPr>
        <w:pStyle w:val="paragraph"/>
        <w:spacing w:before="240" w:beforeAutospacing="0" w:after="0" w:afterAutospacing="0"/>
        <w:textAlignment w:val="baseline"/>
        <w:rPr>
          <w:rStyle w:val="normaltextrun"/>
          <w:rFonts w:ascii="Muli" w:hAnsi="Muli"/>
        </w:rPr>
      </w:pPr>
      <w:r w:rsidRPr="27AC408D">
        <w:rPr>
          <w:rStyle w:val="normaltextrun"/>
          <w:rFonts w:ascii="Muli" w:hAnsi="Muli"/>
        </w:rPr>
        <w:t>“</w:t>
      </w:r>
      <w:r w:rsidR="001104C2" w:rsidRPr="27AC408D">
        <w:rPr>
          <w:rStyle w:val="normaltextrun"/>
          <w:rFonts w:ascii="Muli" w:hAnsi="Muli"/>
        </w:rPr>
        <w:t>El Banco Central Europeo (BCE) celebra mañana su última reunión del año y lo que está claro es que anunciará un nuevo recorte de los tipos de interés oficiales,</w:t>
      </w:r>
      <w:r w:rsidR="004B1A43" w:rsidRPr="27AC408D">
        <w:rPr>
          <w:rStyle w:val="normaltextrun"/>
          <w:rFonts w:ascii="Muli" w:hAnsi="Muli"/>
        </w:rPr>
        <w:t xml:space="preserve"> el cuarto de 2024,</w:t>
      </w:r>
      <w:r w:rsidR="001104C2" w:rsidRPr="27AC408D">
        <w:rPr>
          <w:rStyle w:val="normaltextrun"/>
          <w:rFonts w:ascii="Muli" w:hAnsi="Muli"/>
        </w:rPr>
        <w:t xml:space="preserve"> pero </w:t>
      </w:r>
      <w:r w:rsidR="0DB63E43" w:rsidRPr="27AC408D">
        <w:rPr>
          <w:rStyle w:val="normaltextrun"/>
          <w:rFonts w:ascii="Muli" w:hAnsi="Muli"/>
        </w:rPr>
        <w:t>es p</w:t>
      </w:r>
      <w:r w:rsidR="189C34B0" w:rsidRPr="27AC408D">
        <w:rPr>
          <w:rStyle w:val="normaltextrun"/>
          <w:rFonts w:ascii="Muli" w:hAnsi="Muli"/>
        </w:rPr>
        <w:t>osible</w:t>
      </w:r>
      <w:r w:rsidR="0DB63E43" w:rsidRPr="27AC408D">
        <w:rPr>
          <w:rStyle w:val="normaltextrun"/>
          <w:rFonts w:ascii="Muli" w:hAnsi="Muli"/>
        </w:rPr>
        <w:t xml:space="preserve"> que no sea</w:t>
      </w:r>
      <w:r w:rsidR="001104C2" w:rsidRPr="27AC408D">
        <w:rPr>
          <w:rStyle w:val="normaltextrun"/>
          <w:rFonts w:ascii="Muli" w:hAnsi="Muli"/>
        </w:rPr>
        <w:t xml:space="preserve"> tan drástico como algunos sectores esperan. La lógica nos dice, sobre todo después de lo que hemos vivido en los últimos años, que Christine Lagarde </w:t>
      </w:r>
      <w:r w:rsidR="44CE1A1D" w:rsidRPr="27AC408D">
        <w:rPr>
          <w:rStyle w:val="normaltextrun"/>
          <w:rFonts w:ascii="Muli" w:hAnsi="Muli"/>
        </w:rPr>
        <w:t>n</w:t>
      </w:r>
      <w:r w:rsidR="001104C2" w:rsidRPr="27AC408D">
        <w:rPr>
          <w:rStyle w:val="normaltextrun"/>
          <w:rFonts w:ascii="Muli" w:hAnsi="Muli"/>
        </w:rPr>
        <w:t>o va a arriesgarse a que la inflación vuelva a dispararse en un momento en el que la incertidumbre política</w:t>
      </w:r>
      <w:r w:rsidR="7AF5B505" w:rsidRPr="27AC408D">
        <w:rPr>
          <w:rStyle w:val="normaltextrun"/>
          <w:rFonts w:ascii="Muli" w:hAnsi="Muli"/>
        </w:rPr>
        <w:t>, y</w:t>
      </w:r>
      <w:r w:rsidR="001104C2" w:rsidRPr="27AC408D">
        <w:rPr>
          <w:rStyle w:val="normaltextrun"/>
          <w:rFonts w:ascii="Muli" w:hAnsi="Muli"/>
        </w:rPr>
        <w:t xml:space="preserve"> por tanto </w:t>
      </w:r>
      <w:r w:rsidR="78F1F109" w:rsidRPr="27AC408D">
        <w:rPr>
          <w:rStyle w:val="normaltextrun"/>
          <w:rFonts w:ascii="Muli" w:hAnsi="Muli"/>
        </w:rPr>
        <w:t xml:space="preserve">también </w:t>
      </w:r>
      <w:r w:rsidR="001104C2" w:rsidRPr="27AC408D">
        <w:rPr>
          <w:rStyle w:val="normaltextrun"/>
          <w:rFonts w:ascii="Muli" w:hAnsi="Muli"/>
        </w:rPr>
        <w:t xml:space="preserve">económica, está en su máximo esplendor, sobre todo tras la victoria de Donald Trump en Estados Unidos y la moción de censura </w:t>
      </w:r>
      <w:r w:rsidR="1F16FFEB" w:rsidRPr="27AC408D">
        <w:rPr>
          <w:rStyle w:val="normaltextrun"/>
          <w:rFonts w:ascii="Muli" w:hAnsi="Muli"/>
        </w:rPr>
        <w:t xml:space="preserve">contra Michel Barnier </w:t>
      </w:r>
      <w:r w:rsidR="001104C2" w:rsidRPr="27AC408D">
        <w:rPr>
          <w:rStyle w:val="normaltextrun"/>
          <w:rFonts w:ascii="Muli" w:hAnsi="Muli"/>
        </w:rPr>
        <w:t>en Francia.</w:t>
      </w:r>
      <w:r w:rsidRPr="27AC408D">
        <w:rPr>
          <w:rStyle w:val="normaltextrun"/>
          <w:rFonts w:ascii="Muli" w:hAnsi="Muli"/>
        </w:rPr>
        <w:t xml:space="preserve"> </w:t>
      </w:r>
    </w:p>
    <w:p w14:paraId="3D3F338A" w14:textId="1218160D" w:rsidR="009D2A2C" w:rsidRDefault="001104C2" w:rsidP="009D2A2C">
      <w:pPr>
        <w:pStyle w:val="paragraph"/>
        <w:spacing w:before="240" w:beforeAutospacing="0" w:after="0" w:afterAutospacing="0"/>
        <w:textAlignment w:val="baseline"/>
        <w:rPr>
          <w:rStyle w:val="normaltextrun"/>
          <w:rFonts w:ascii="Muli" w:hAnsi="Muli"/>
        </w:rPr>
      </w:pPr>
      <w:r>
        <w:rPr>
          <w:rStyle w:val="normaltextrun"/>
          <w:rFonts w:ascii="Muli" w:hAnsi="Muli"/>
        </w:rPr>
        <w:t>Entonces, lo más probable es que mañana el BCE apruebe una nueva reducción de 0,25 puntos porcentuales o, lo que es lo mismo, 25 puntos básicos en los tipos de interés, hasta situarlos en el 3%. De esta forma</w:t>
      </w:r>
      <w:r w:rsidR="004B1A43">
        <w:rPr>
          <w:rStyle w:val="normaltextrun"/>
          <w:rFonts w:ascii="Muli" w:hAnsi="Muli"/>
        </w:rPr>
        <w:t xml:space="preserve"> y siguiendo con su estrategia conservadora, el organismo europeo </w:t>
      </w:r>
      <w:r w:rsidR="00A865E1">
        <w:rPr>
          <w:rStyle w:val="normaltextrun"/>
          <w:rFonts w:ascii="Muli" w:hAnsi="Muli"/>
        </w:rPr>
        <w:t xml:space="preserve">apoyaría el crecimiento económico, pero con un ojo puesto </w:t>
      </w:r>
      <w:r w:rsidR="004B1A43">
        <w:rPr>
          <w:rStyle w:val="normaltextrun"/>
          <w:rFonts w:ascii="Muli" w:hAnsi="Muli"/>
        </w:rPr>
        <w:t xml:space="preserve">en su objetivo principal: que no </w:t>
      </w:r>
      <w:r w:rsidR="00A865E1">
        <w:rPr>
          <w:rStyle w:val="normaltextrun"/>
          <w:rFonts w:ascii="Muli" w:hAnsi="Muli"/>
        </w:rPr>
        <w:t>haya</w:t>
      </w:r>
      <w:r w:rsidR="004B1A43">
        <w:rPr>
          <w:rStyle w:val="normaltextrun"/>
          <w:rFonts w:ascii="Muli" w:hAnsi="Muli"/>
        </w:rPr>
        <w:t xml:space="preserve"> nuevos repuntes en la inflación, que ahora mismo se sitúa en el 2,3%</w:t>
      </w:r>
      <w:r w:rsidR="00653399">
        <w:rPr>
          <w:rStyle w:val="normaltextrun"/>
          <w:rFonts w:ascii="Muli" w:hAnsi="Muli"/>
        </w:rPr>
        <w:t xml:space="preserve"> en la eurozona</w:t>
      </w:r>
      <w:r w:rsidR="004B1A43">
        <w:rPr>
          <w:rStyle w:val="normaltextrun"/>
          <w:rFonts w:ascii="Muli" w:hAnsi="Muli"/>
        </w:rPr>
        <w:t>, un poco por encima de la meta del 2% que se ha marcado Lagarde.</w:t>
      </w:r>
    </w:p>
    <w:p w14:paraId="0FCC94C4" w14:textId="1DCD8640" w:rsidR="004B1A43" w:rsidRDefault="009D2A2C" w:rsidP="00EF39EF">
      <w:pPr>
        <w:pStyle w:val="paragraph"/>
        <w:spacing w:before="240" w:beforeAutospacing="0" w:after="0" w:afterAutospacing="0"/>
        <w:textAlignment w:val="baseline"/>
        <w:rPr>
          <w:rStyle w:val="normaltextrun"/>
          <w:rFonts w:ascii="Muli" w:hAnsi="Muli"/>
        </w:rPr>
      </w:pPr>
      <w:r w:rsidRPr="5117AA92">
        <w:rPr>
          <w:rStyle w:val="normaltextrun"/>
          <w:rFonts w:ascii="Muli" w:hAnsi="Muli"/>
        </w:rPr>
        <w:t>¿</w:t>
      </w:r>
      <w:r w:rsidR="004B1A43" w:rsidRPr="5117AA92">
        <w:rPr>
          <w:rStyle w:val="normaltextrun"/>
          <w:rFonts w:ascii="Muli" w:hAnsi="Muli"/>
        </w:rPr>
        <w:t xml:space="preserve">Qué pasará en 2025? El Banco Central Europeo tiene previsto reunirse ocho veces el año que viene. La primera de estas citas tendrá lugar el 30 de enero. Esa fecha será clave para ver cómo </w:t>
      </w:r>
      <w:r w:rsidR="00A865E1" w:rsidRPr="5117AA92">
        <w:rPr>
          <w:rStyle w:val="normaltextrun"/>
          <w:rFonts w:ascii="Muli" w:hAnsi="Muli"/>
        </w:rPr>
        <w:t xml:space="preserve">han afectado las Navidades (época en la que el consumo en los hogares se dispara) a la inflación. En caso de seguir la senda actual, es decir, </w:t>
      </w:r>
      <w:r w:rsidR="5B7742AA" w:rsidRPr="5117AA92">
        <w:rPr>
          <w:rStyle w:val="normaltextrun"/>
          <w:rFonts w:ascii="Muli" w:hAnsi="Muli"/>
        </w:rPr>
        <w:t>b</w:t>
      </w:r>
      <w:r w:rsidR="00A865E1" w:rsidRPr="5117AA92">
        <w:rPr>
          <w:rStyle w:val="normaltextrun"/>
          <w:rFonts w:ascii="Muli" w:hAnsi="Muli"/>
        </w:rPr>
        <w:t>ajo control, seguramente Lagarde y su equipo continúen recortando los tipos, lo que podría hacer que alcancen niveles del 2,5% durante el primer trimestre del año. Así</w:t>
      </w:r>
      <w:r w:rsidR="6D4B8653" w:rsidRPr="5117AA92">
        <w:rPr>
          <w:rStyle w:val="normaltextrun"/>
          <w:rFonts w:ascii="Muli" w:hAnsi="Muli"/>
        </w:rPr>
        <w:t>,</w:t>
      </w:r>
      <w:r w:rsidR="00A865E1" w:rsidRPr="5117AA92">
        <w:rPr>
          <w:rStyle w:val="normaltextrun"/>
          <w:rFonts w:ascii="Muli" w:hAnsi="Muli"/>
        </w:rPr>
        <w:t xml:space="preserve"> el 2025 podría terminar con los tipos de interés oficiales incluso </w:t>
      </w:r>
      <w:r w:rsidR="234C2C2A" w:rsidRPr="5117AA92">
        <w:rPr>
          <w:rStyle w:val="normaltextrun"/>
          <w:rFonts w:ascii="Muli" w:hAnsi="Muli"/>
        </w:rPr>
        <w:t xml:space="preserve">por debajo </w:t>
      </w:r>
      <w:r w:rsidR="00A865E1" w:rsidRPr="5117AA92">
        <w:rPr>
          <w:rStyle w:val="normaltextrun"/>
          <w:rFonts w:ascii="Muli" w:hAnsi="Muli"/>
        </w:rPr>
        <w:t>del</w:t>
      </w:r>
      <w:r w:rsidR="4F13A236" w:rsidRPr="5117AA92">
        <w:rPr>
          <w:rStyle w:val="normaltextrun"/>
          <w:rFonts w:ascii="Muli" w:hAnsi="Muli"/>
        </w:rPr>
        <w:t xml:space="preserve"> tipo de interés neutral del</w:t>
      </w:r>
      <w:r w:rsidR="00A865E1" w:rsidRPr="5117AA92">
        <w:rPr>
          <w:rStyle w:val="normaltextrun"/>
          <w:rFonts w:ascii="Muli" w:hAnsi="Muli"/>
        </w:rPr>
        <w:t xml:space="preserve"> 2%</w:t>
      </w:r>
      <w:r w:rsidR="7388DF11" w:rsidRPr="5117AA92">
        <w:rPr>
          <w:rStyle w:val="normaltextrun"/>
          <w:rFonts w:ascii="Muli" w:hAnsi="Muli"/>
        </w:rPr>
        <w:t>,</w:t>
      </w:r>
      <w:r w:rsidR="00A865E1" w:rsidRPr="5117AA92">
        <w:rPr>
          <w:rStyle w:val="normaltextrun"/>
          <w:rFonts w:ascii="Muli" w:hAnsi="Muli"/>
        </w:rPr>
        <w:t xml:space="preserve"> aunque todavía queda mucho y hay que ser cautos con las previsiones.</w:t>
      </w:r>
    </w:p>
    <w:p w14:paraId="4AF157B7" w14:textId="034268D5" w:rsidR="00817D56" w:rsidRDefault="00817D56" w:rsidP="27AC408D">
      <w:pPr>
        <w:pStyle w:val="paragraph"/>
        <w:spacing w:before="240" w:beforeAutospacing="0" w:after="0" w:afterAutospacing="0"/>
        <w:textAlignment w:val="baseline"/>
        <w:rPr>
          <w:rStyle w:val="normaltextrun"/>
          <w:rFonts w:ascii="Muli" w:hAnsi="Muli"/>
        </w:rPr>
      </w:pPr>
      <w:r w:rsidRPr="00EF39EF">
        <w:rPr>
          <w:rStyle w:val="normaltextrun"/>
          <w:rFonts w:ascii="Muli" w:hAnsi="Muli"/>
        </w:rPr>
        <w:t>¿Cómo afectar</w:t>
      </w:r>
      <w:r w:rsidR="6F07AAEE" w:rsidRPr="00EF39EF">
        <w:rPr>
          <w:rStyle w:val="normaltextrun"/>
          <w:rFonts w:ascii="Muli" w:hAnsi="Muli"/>
        </w:rPr>
        <w:t xml:space="preserve">ía un recorte de 0,25 puntos </w:t>
      </w:r>
      <w:r w:rsidRPr="00EF39EF">
        <w:rPr>
          <w:rStyle w:val="normaltextrun"/>
          <w:rFonts w:ascii="Muli" w:hAnsi="Muli"/>
        </w:rPr>
        <w:t xml:space="preserve">a los hogares? Por un lado, </w:t>
      </w:r>
      <w:r w:rsidR="61E1B8FF" w:rsidRPr="00EF39EF">
        <w:rPr>
          <w:rStyle w:val="normaltextrun"/>
          <w:rFonts w:ascii="Muli" w:hAnsi="Muli"/>
        </w:rPr>
        <w:t>sería</w:t>
      </w:r>
      <w:r w:rsidRPr="00EF39EF">
        <w:rPr>
          <w:rStyle w:val="normaltextrun"/>
          <w:rFonts w:ascii="Muli" w:hAnsi="Muli"/>
        </w:rPr>
        <w:t xml:space="preserve"> una mala noticia para los ahorradores: al reducirse los tipos de interés, quienes tengan su dinero invertido en productos de renta fija como los depósitos o las cuentas remuneradas experimentar</w:t>
      </w:r>
      <w:r w:rsidR="525F778A" w:rsidRPr="00EF39EF">
        <w:rPr>
          <w:rStyle w:val="normaltextrun"/>
          <w:rFonts w:ascii="Muli" w:hAnsi="Muli"/>
        </w:rPr>
        <w:t>ían</w:t>
      </w:r>
      <w:r w:rsidRPr="00EF39EF">
        <w:rPr>
          <w:rStyle w:val="normaltextrun"/>
          <w:rFonts w:ascii="Muli" w:hAnsi="Muli"/>
        </w:rPr>
        <w:t xml:space="preserve"> un descenso en sus rendimientos. No obstante, la buena noticia llega</w:t>
      </w:r>
      <w:r w:rsidR="58BB8CCB" w:rsidRPr="00EF39EF">
        <w:rPr>
          <w:rStyle w:val="normaltextrun"/>
          <w:rFonts w:ascii="Muli" w:hAnsi="Muli"/>
        </w:rPr>
        <w:t>ría</w:t>
      </w:r>
      <w:r w:rsidRPr="00EF39EF">
        <w:rPr>
          <w:rStyle w:val="normaltextrun"/>
          <w:rFonts w:ascii="Muli" w:hAnsi="Muli"/>
        </w:rPr>
        <w:t xml:space="preserve"> para los prestatarios, que ver</w:t>
      </w:r>
      <w:r w:rsidR="602DFA26" w:rsidRPr="00EF39EF">
        <w:rPr>
          <w:rStyle w:val="normaltextrun"/>
          <w:rFonts w:ascii="Muli" w:hAnsi="Muli"/>
        </w:rPr>
        <w:t>ía</w:t>
      </w:r>
      <w:r w:rsidRPr="00EF39EF">
        <w:rPr>
          <w:rStyle w:val="normaltextrun"/>
          <w:rFonts w:ascii="Muli" w:hAnsi="Muli"/>
        </w:rPr>
        <w:t xml:space="preserve">n cómo su deuda se abarata. Un claro ejemplo son los hipotecados: al reducirse los tipos de interés oficiales, el euríbor también caerá y quienes tengan una hipoteca variable pagarán menos intereses por ella cuando les toque hacer la próxima revisión. Igualmente, quien esté pensando en pedir </w:t>
      </w:r>
      <w:r w:rsidRPr="00EF39EF">
        <w:rPr>
          <w:rStyle w:val="normaltextrun"/>
          <w:rFonts w:ascii="Muli" w:hAnsi="Muli"/>
        </w:rPr>
        <w:lastRenderedPageBreak/>
        <w:t>una hipoteca (s</w:t>
      </w:r>
      <w:r w:rsidR="00235EE1" w:rsidRPr="00EF39EF">
        <w:rPr>
          <w:rStyle w:val="normaltextrun"/>
          <w:rFonts w:ascii="Muli" w:hAnsi="Muli"/>
        </w:rPr>
        <w:t>obre todo fija o mixta</w:t>
      </w:r>
      <w:r w:rsidRPr="00EF39EF">
        <w:rPr>
          <w:rStyle w:val="normaltextrun"/>
          <w:rFonts w:ascii="Muli" w:hAnsi="Muli"/>
        </w:rPr>
        <w:t>), podrá optar a productos mucho más baratos, es decir, pagará menos intereses por el préstamo al banco.</w:t>
      </w:r>
    </w:p>
    <w:p w14:paraId="76B68C61" w14:textId="6F65994E" w:rsidR="00235EE1" w:rsidRDefault="00235EE1" w:rsidP="00EF39EF">
      <w:pPr>
        <w:pStyle w:val="paragraph"/>
        <w:spacing w:before="240" w:beforeAutospacing="0" w:after="0" w:afterAutospacing="0"/>
        <w:textAlignment w:val="baseline"/>
        <w:rPr>
          <w:rStyle w:val="normaltextrun"/>
          <w:rFonts w:ascii="Muli" w:hAnsi="Muli"/>
        </w:rPr>
      </w:pPr>
      <w:r w:rsidRPr="00EF39EF">
        <w:rPr>
          <w:rStyle w:val="normaltextrun"/>
          <w:rFonts w:ascii="Muli" w:hAnsi="Muli"/>
        </w:rPr>
        <w:t xml:space="preserve">Eso sí, debemos tener en cuenta que los bancos no tendrán tiempo de aplicar esta reducción de tipos en sus ofertas en diciembre y, aunque lo hicieran, cualquier cambio que se haga ahora ya no tendría efecto en 2024, si no en 2025. Por tanto, prevemos un mercado plano hasta Navidad y, a partir de enero, nuevas bajadas de precios en las hipotecas. Por ejemplo, </w:t>
      </w:r>
      <w:r w:rsidR="07300386" w:rsidRPr="00EF39EF">
        <w:rPr>
          <w:rStyle w:val="normaltextrun"/>
          <w:rFonts w:ascii="Muli" w:hAnsi="Muli"/>
        </w:rPr>
        <w:t>a partir de</w:t>
      </w:r>
      <w:r w:rsidRPr="00EF39EF">
        <w:rPr>
          <w:rStyle w:val="normaltextrun"/>
          <w:rFonts w:ascii="Muli" w:hAnsi="Muli"/>
        </w:rPr>
        <w:t xml:space="preserve"> enero podríamos ver ya hipotecas fijas </w:t>
      </w:r>
      <w:r w:rsidR="3057C78A" w:rsidRPr="00EF39EF">
        <w:rPr>
          <w:rStyle w:val="normaltextrun"/>
          <w:rFonts w:ascii="Muli" w:hAnsi="Muli"/>
        </w:rPr>
        <w:t>en torno al</w:t>
      </w:r>
      <w:r w:rsidRPr="00EF39EF">
        <w:rPr>
          <w:rStyle w:val="normaltextrun"/>
          <w:rFonts w:ascii="Muli" w:hAnsi="Muli"/>
        </w:rPr>
        <w:t xml:space="preserve"> 2% TIN y mixtas </w:t>
      </w:r>
      <w:r w:rsidR="7D07479D" w:rsidRPr="00EF39EF">
        <w:rPr>
          <w:rStyle w:val="normaltextrun"/>
          <w:rFonts w:ascii="Muli" w:hAnsi="Muli"/>
        </w:rPr>
        <w:t>cerca de</w:t>
      </w:r>
      <w:r w:rsidRPr="00EF39EF">
        <w:rPr>
          <w:rStyle w:val="normaltextrun"/>
          <w:rFonts w:ascii="Muli" w:hAnsi="Muli"/>
        </w:rPr>
        <w:t>l 1% TIN; ofertas muy muy buenas y que ayudarán a compensar un poco el precio de las viviendas, que eso sí esperamos que siga subiendo”.</w:t>
      </w:r>
    </w:p>
    <w:p w14:paraId="79AE6B96" w14:textId="77777777" w:rsidR="00235EE1" w:rsidRDefault="00235EE1" w:rsidP="009D2A2C">
      <w:pPr>
        <w:pStyle w:val="paragraph"/>
        <w:spacing w:before="240" w:beforeAutospacing="0" w:after="0" w:afterAutospacing="0"/>
        <w:textAlignment w:val="baseline"/>
        <w:rPr>
          <w:rStyle w:val="normaltextrun"/>
          <w:rFonts w:ascii="Muli" w:hAnsi="Muli"/>
        </w:rPr>
      </w:pPr>
    </w:p>
    <w:p w14:paraId="569BB215" w14:textId="77777777" w:rsidR="009D2A2C" w:rsidRDefault="009D2A2C" w:rsidP="009D2A2C">
      <w:pPr>
        <w:rPr>
          <w:rStyle w:val="contentpasted0"/>
          <w:rFonts w:ascii="Muli" w:hAnsi="Muli"/>
          <w:i/>
          <w:iCs/>
          <w:color w:val="000000"/>
          <w:u w:val="single"/>
        </w:rPr>
      </w:pPr>
      <w:r>
        <w:rPr>
          <w:rStyle w:val="contentpasted0"/>
          <w:rFonts w:ascii="Muli" w:hAnsi="Muli"/>
          <w:color w:val="000000"/>
          <w:u w:val="single"/>
        </w:rPr>
        <w:t>Simone Colombelli, director de Hipotecas de iAhorro.</w:t>
      </w:r>
    </w:p>
    <w:p w14:paraId="2E0BA832" w14:textId="77777777" w:rsidR="009D2A2C" w:rsidRDefault="009D2A2C" w:rsidP="009D2A2C">
      <w:pPr>
        <w:rPr>
          <w:rStyle w:val="contentpasted0"/>
          <w:rFonts w:ascii="Muli" w:hAnsi="Muli"/>
          <w:i/>
          <w:iCs/>
          <w:color w:val="000000"/>
          <w:u w:val="single"/>
        </w:rPr>
      </w:pPr>
    </w:p>
    <w:p w14:paraId="10405478" w14:textId="77777777" w:rsidR="009D2A2C" w:rsidRDefault="009D2A2C" w:rsidP="009D2A2C">
      <w:pPr>
        <w:spacing w:after="160"/>
        <w:rPr>
          <w:rStyle w:val="contentpasted0"/>
          <w:rFonts w:ascii="Muli" w:hAnsi="Muli"/>
          <w:color w:val="000000"/>
          <w:sz w:val="24"/>
          <w:szCs w:val="24"/>
          <w:lang w:val="es-ES_tradnl"/>
        </w:rPr>
      </w:pPr>
      <w:r>
        <w:rPr>
          <w:rStyle w:val="contentpasted0"/>
          <w:rFonts w:ascii="Muli" w:hAnsi="Muli"/>
          <w:b/>
          <w:bCs/>
          <w:color w:val="243962"/>
          <w:sz w:val="24"/>
          <w:szCs w:val="24"/>
          <w:lang w:val="es-ES_tradnl"/>
        </w:rPr>
        <w:t xml:space="preserve">Si necesita más información o declaraciones en formato audiovisual: </w:t>
      </w:r>
      <w:r>
        <w:rPr>
          <w:rStyle w:val="contentpasted0"/>
          <w:rFonts w:ascii="Muli" w:hAnsi="Muli"/>
          <w:color w:val="000000"/>
          <w:sz w:val="24"/>
          <w:szCs w:val="24"/>
          <w:lang w:val="es-ES_tradnl"/>
        </w:rPr>
        <w:t>Póngase en contacto con el departamento de Comunicación. </w:t>
      </w:r>
    </w:p>
    <w:tbl>
      <w:tblPr>
        <w:tblW w:w="7092" w:type="dxa"/>
        <w:tblCellMar>
          <w:left w:w="0" w:type="dxa"/>
          <w:right w:w="0" w:type="dxa"/>
        </w:tblCellMar>
        <w:tblLook w:val="04A0" w:firstRow="1" w:lastRow="0" w:firstColumn="1" w:lastColumn="0" w:noHBand="0" w:noVBand="1"/>
      </w:tblPr>
      <w:tblGrid>
        <w:gridCol w:w="1980"/>
        <w:gridCol w:w="2556"/>
        <w:gridCol w:w="2556"/>
      </w:tblGrid>
      <w:tr w:rsidR="009D2A2C" w14:paraId="5C406EED" w14:textId="77777777" w:rsidTr="00F25AC9">
        <w:trPr>
          <w:trHeight w:val="132"/>
        </w:trPr>
        <w:tc>
          <w:tcPr>
            <w:tcW w:w="1980" w:type="dxa"/>
            <w:tcMar>
              <w:top w:w="0" w:type="dxa"/>
              <w:left w:w="108" w:type="dxa"/>
              <w:bottom w:w="0" w:type="dxa"/>
              <w:right w:w="108" w:type="dxa"/>
            </w:tcMar>
            <w:vAlign w:val="center"/>
            <w:hideMark/>
          </w:tcPr>
          <w:p w14:paraId="0EF52BF4" w14:textId="77777777" w:rsidR="009D2A2C" w:rsidRDefault="009D2A2C" w:rsidP="00F25AC9">
            <w:pPr>
              <w:pStyle w:val="Piedepgina"/>
              <w:spacing w:line="252" w:lineRule="auto"/>
              <w:rPr>
                <w:rFonts w:ascii="Aptos" w:hAnsi="Aptos" w:cs="Aptos"/>
                <w:b/>
                <w:bCs/>
                <w:sz w:val="18"/>
                <w:szCs w:val="18"/>
              </w:rPr>
            </w:pPr>
            <w:r>
              <w:rPr>
                <w:noProof/>
              </w:rPr>
              <w:drawing>
                <wp:inline distT="0" distB="0" distL="0" distR="0" wp14:anchorId="255735DA" wp14:editId="1DB9BFF8">
                  <wp:extent cx="1055370" cy="522605"/>
                  <wp:effectExtent l="0" t="0" r="11430" b="10795"/>
                  <wp:docPr id="1332602733"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10;&#10;Descripción generada automáticamente"/>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1055370" cy="522605"/>
                          </a:xfrm>
                          <a:prstGeom prst="rect">
                            <a:avLst/>
                          </a:prstGeom>
                          <a:noFill/>
                          <a:ln>
                            <a:noFill/>
                          </a:ln>
                        </pic:spPr>
                      </pic:pic>
                    </a:graphicData>
                  </a:graphic>
                </wp:inline>
              </w:drawing>
            </w:r>
          </w:p>
        </w:tc>
        <w:tc>
          <w:tcPr>
            <w:tcW w:w="2556" w:type="dxa"/>
            <w:tcMar>
              <w:top w:w="0" w:type="dxa"/>
              <w:left w:w="108" w:type="dxa"/>
              <w:bottom w:w="0" w:type="dxa"/>
              <w:right w:w="108" w:type="dxa"/>
            </w:tcMar>
            <w:vAlign w:val="center"/>
          </w:tcPr>
          <w:p w14:paraId="6EA3F77F" w14:textId="77777777" w:rsidR="009D2A2C" w:rsidRDefault="009D2A2C" w:rsidP="00F25AC9">
            <w:pPr>
              <w:pStyle w:val="Piedepgina"/>
              <w:spacing w:line="252" w:lineRule="auto"/>
              <w:jc w:val="center"/>
              <w:rPr>
                <w:b/>
                <w:bCs/>
                <w:sz w:val="18"/>
                <w:szCs w:val="18"/>
              </w:rPr>
            </w:pPr>
          </w:p>
          <w:p w14:paraId="235AA465" w14:textId="77777777" w:rsidR="009D2A2C" w:rsidRDefault="009D2A2C" w:rsidP="00F25AC9">
            <w:pPr>
              <w:pStyle w:val="Piedepgina"/>
              <w:spacing w:line="252" w:lineRule="auto"/>
              <w:jc w:val="center"/>
              <w:rPr>
                <w:b/>
                <w:bCs/>
                <w:sz w:val="18"/>
                <w:szCs w:val="18"/>
              </w:rPr>
            </w:pPr>
          </w:p>
          <w:p w14:paraId="676187D6" w14:textId="77777777" w:rsidR="009D2A2C" w:rsidRDefault="009D2A2C" w:rsidP="00F25AC9">
            <w:pPr>
              <w:pStyle w:val="Piedepgina"/>
              <w:spacing w:line="252" w:lineRule="auto"/>
              <w:jc w:val="center"/>
              <w:rPr>
                <w:sz w:val="18"/>
                <w:szCs w:val="18"/>
              </w:rPr>
            </w:pPr>
            <w:r>
              <w:rPr>
                <w:b/>
                <w:bCs/>
                <w:sz w:val="18"/>
                <w:szCs w:val="18"/>
              </w:rPr>
              <w:t>Laura Martínez</w:t>
            </w:r>
            <w:r>
              <w:rPr>
                <w:sz w:val="18"/>
                <w:szCs w:val="18"/>
              </w:rPr>
              <w:t xml:space="preserve"> – 686 688 757</w:t>
            </w:r>
            <w:r>
              <w:rPr>
                <w:sz w:val="18"/>
                <w:szCs w:val="18"/>
              </w:rPr>
              <w:br/>
            </w:r>
            <w:hyperlink r:id="rId6" w:history="1">
              <w:r w:rsidRPr="009D144E">
                <w:rPr>
                  <w:rStyle w:val="Hipervnculo"/>
                  <w:sz w:val="18"/>
                  <w:szCs w:val="18"/>
                </w:rPr>
                <w:t>laura.martinez@iahorro.com</w:t>
              </w:r>
            </w:hyperlink>
          </w:p>
          <w:p w14:paraId="23A51215" w14:textId="77777777" w:rsidR="009D2A2C" w:rsidRDefault="009D2A2C" w:rsidP="00F25AC9">
            <w:pPr>
              <w:pStyle w:val="Piedepgina"/>
              <w:spacing w:line="252" w:lineRule="auto"/>
              <w:jc w:val="center"/>
              <w:rPr>
                <w:b/>
                <w:bCs/>
                <w:sz w:val="18"/>
                <w:szCs w:val="18"/>
                <w:lang w:val="pt-PT"/>
              </w:rPr>
            </w:pPr>
          </w:p>
          <w:p w14:paraId="0EB37457" w14:textId="77777777" w:rsidR="009D2A2C" w:rsidRDefault="009D2A2C" w:rsidP="00F25AC9">
            <w:pPr>
              <w:pStyle w:val="Piedepgina"/>
              <w:spacing w:line="252" w:lineRule="auto"/>
              <w:jc w:val="center"/>
              <w:rPr>
                <w:b/>
                <w:bCs/>
                <w:sz w:val="18"/>
                <w:szCs w:val="18"/>
                <w:lang w:val="pt-PT"/>
              </w:rPr>
            </w:pPr>
          </w:p>
        </w:tc>
        <w:tc>
          <w:tcPr>
            <w:tcW w:w="2556" w:type="dxa"/>
            <w:tcMar>
              <w:top w:w="0" w:type="dxa"/>
              <w:left w:w="108" w:type="dxa"/>
              <w:bottom w:w="0" w:type="dxa"/>
              <w:right w:w="108" w:type="dxa"/>
            </w:tcMar>
            <w:vAlign w:val="center"/>
            <w:hideMark/>
          </w:tcPr>
          <w:p w14:paraId="1582F6BD" w14:textId="77777777" w:rsidR="009D2A2C" w:rsidRDefault="009D2A2C" w:rsidP="00F25AC9">
            <w:pPr>
              <w:pStyle w:val="Piedepgina"/>
              <w:spacing w:line="252" w:lineRule="auto"/>
              <w:rPr>
                <w:b/>
                <w:bCs/>
                <w:sz w:val="18"/>
                <w:szCs w:val="18"/>
                <w:lang w:val="pt-PT"/>
              </w:rPr>
            </w:pPr>
            <w:r>
              <w:rPr>
                <w:b/>
                <w:bCs/>
                <w:sz w:val="18"/>
                <w:szCs w:val="18"/>
                <w:lang w:val="pt-PT"/>
              </w:rPr>
              <w:t>Noelia Pérez</w:t>
            </w:r>
            <w:r>
              <w:rPr>
                <w:sz w:val="18"/>
                <w:szCs w:val="18"/>
                <w:lang w:val="pt-PT"/>
              </w:rPr>
              <w:t xml:space="preserve"> – 653 247 167</w:t>
            </w:r>
            <w:r>
              <w:rPr>
                <w:sz w:val="18"/>
                <w:szCs w:val="18"/>
                <w:lang w:val="pt-PT"/>
              </w:rPr>
              <w:br/>
            </w:r>
            <w:hyperlink r:id="rId7" w:history="1">
              <w:r>
                <w:rPr>
                  <w:rStyle w:val="Hipervnculo"/>
                  <w:sz w:val="18"/>
                  <w:szCs w:val="18"/>
                  <w:lang w:val="pt-PT"/>
                </w:rPr>
                <w:t>noelia.perez@iahorro.com</w:t>
              </w:r>
            </w:hyperlink>
          </w:p>
        </w:tc>
      </w:tr>
    </w:tbl>
    <w:p w14:paraId="2EEC51C4" w14:textId="77777777" w:rsidR="009D2A2C" w:rsidRDefault="009D2A2C" w:rsidP="009D2A2C"/>
    <w:p w14:paraId="3B09939C" w14:textId="77777777" w:rsidR="009D2A2C" w:rsidRDefault="009D2A2C" w:rsidP="009D2A2C"/>
    <w:p w14:paraId="7970A57B" w14:textId="77777777" w:rsidR="009D2A2C" w:rsidRDefault="009D2A2C" w:rsidP="009D2A2C"/>
    <w:p w14:paraId="71894968" w14:textId="77777777" w:rsidR="009D2A2C" w:rsidRDefault="009D2A2C" w:rsidP="009D2A2C"/>
    <w:p w14:paraId="3AD20003" w14:textId="77777777" w:rsidR="009D2A2C" w:rsidRPr="00894483" w:rsidRDefault="009D2A2C" w:rsidP="009D2A2C"/>
    <w:p w14:paraId="41E62E4B" w14:textId="77777777" w:rsidR="00381D98" w:rsidRDefault="00381D98"/>
    <w:sectPr w:rsidR="00381D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uli">
    <w:altName w:val="Calibri"/>
    <w:panose1 w:val="00000000000000000000"/>
    <w:charset w:val="00"/>
    <w:family w:val="auto"/>
    <w:pitch w:val="variable"/>
    <w:sig w:usb0="A00000FF" w:usb1="5000204B" w:usb2="00000000" w:usb3="00000000" w:csb0="00000193" w:csb1="00000000"/>
  </w:font>
  <w:font w:name="Montserrat">
    <w:panose1 w:val="00000500000000000000"/>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A2C"/>
    <w:rsid w:val="000A22C0"/>
    <w:rsid w:val="001104C2"/>
    <w:rsid w:val="0014369C"/>
    <w:rsid w:val="001B0F85"/>
    <w:rsid w:val="00235EE1"/>
    <w:rsid w:val="00381D98"/>
    <w:rsid w:val="003D5759"/>
    <w:rsid w:val="004B1A43"/>
    <w:rsid w:val="00653399"/>
    <w:rsid w:val="0077213E"/>
    <w:rsid w:val="00817D56"/>
    <w:rsid w:val="009D2A2C"/>
    <w:rsid w:val="00A865E1"/>
    <w:rsid w:val="00CE2E71"/>
    <w:rsid w:val="00EF39EF"/>
    <w:rsid w:val="0134B86E"/>
    <w:rsid w:val="07300386"/>
    <w:rsid w:val="08156340"/>
    <w:rsid w:val="0DB63E43"/>
    <w:rsid w:val="17CDE94E"/>
    <w:rsid w:val="189C34B0"/>
    <w:rsid w:val="1F16FFEB"/>
    <w:rsid w:val="1F3D488F"/>
    <w:rsid w:val="234C2C2A"/>
    <w:rsid w:val="27AC408D"/>
    <w:rsid w:val="3057C78A"/>
    <w:rsid w:val="32F48AF3"/>
    <w:rsid w:val="365DC5A4"/>
    <w:rsid w:val="44CE1A1D"/>
    <w:rsid w:val="4B4DE037"/>
    <w:rsid w:val="4F13A236"/>
    <w:rsid w:val="5117AA92"/>
    <w:rsid w:val="525F778A"/>
    <w:rsid w:val="58BB8CCB"/>
    <w:rsid w:val="5B7742AA"/>
    <w:rsid w:val="602DFA26"/>
    <w:rsid w:val="61E1B8FF"/>
    <w:rsid w:val="6D4B8653"/>
    <w:rsid w:val="6F07AAEE"/>
    <w:rsid w:val="7388DF11"/>
    <w:rsid w:val="78F1F109"/>
    <w:rsid w:val="7AF5B505"/>
    <w:rsid w:val="7B816FB6"/>
    <w:rsid w:val="7C1A8E7B"/>
    <w:rsid w:val="7D0747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8CA3A"/>
  <w15:chartTrackingRefBased/>
  <w15:docId w15:val="{64E78FE5-B672-42E7-9F90-7CEB784F4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A2C"/>
    <w:pPr>
      <w:spacing w:after="0" w:line="240" w:lineRule="auto"/>
    </w:pPr>
    <w:rPr>
      <w:rFonts w:ascii="Calibri" w:hAnsi="Calibri" w:cs="Calibri"/>
      <w14:ligatures w14:val="standardContextual"/>
    </w:rPr>
  </w:style>
  <w:style w:type="paragraph" w:styleId="Ttulo1">
    <w:name w:val="heading 1"/>
    <w:basedOn w:val="Normal"/>
    <w:next w:val="Normal"/>
    <w:link w:val="Ttulo1Car"/>
    <w:uiPriority w:val="9"/>
    <w:qFormat/>
    <w:rsid w:val="009D2A2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14:ligatures w14:val="none"/>
    </w:rPr>
  </w:style>
  <w:style w:type="paragraph" w:styleId="Ttulo2">
    <w:name w:val="heading 2"/>
    <w:basedOn w:val="Normal"/>
    <w:next w:val="Normal"/>
    <w:link w:val="Ttulo2Car"/>
    <w:uiPriority w:val="9"/>
    <w:semiHidden/>
    <w:unhideWhenUsed/>
    <w:qFormat/>
    <w:rsid w:val="009D2A2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14:ligatures w14:val="none"/>
    </w:rPr>
  </w:style>
  <w:style w:type="paragraph" w:styleId="Ttulo3">
    <w:name w:val="heading 3"/>
    <w:basedOn w:val="Normal"/>
    <w:next w:val="Normal"/>
    <w:link w:val="Ttulo3Car"/>
    <w:uiPriority w:val="9"/>
    <w:semiHidden/>
    <w:unhideWhenUsed/>
    <w:qFormat/>
    <w:rsid w:val="009D2A2C"/>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14:ligatures w14:val="none"/>
    </w:rPr>
  </w:style>
  <w:style w:type="paragraph" w:styleId="Ttulo4">
    <w:name w:val="heading 4"/>
    <w:basedOn w:val="Normal"/>
    <w:next w:val="Normal"/>
    <w:link w:val="Ttulo4Car"/>
    <w:uiPriority w:val="9"/>
    <w:semiHidden/>
    <w:unhideWhenUsed/>
    <w:qFormat/>
    <w:rsid w:val="009D2A2C"/>
    <w:pPr>
      <w:keepNext/>
      <w:keepLines/>
      <w:spacing w:before="80" w:after="40" w:line="259" w:lineRule="auto"/>
      <w:outlineLvl w:val="3"/>
    </w:pPr>
    <w:rPr>
      <w:rFonts w:asciiTheme="minorHAnsi" w:eastAsiaTheme="majorEastAsia" w:hAnsiTheme="minorHAnsi" w:cstheme="majorBidi"/>
      <w:i/>
      <w:iCs/>
      <w:color w:val="0F4761" w:themeColor="accent1" w:themeShade="BF"/>
      <w14:ligatures w14:val="none"/>
    </w:rPr>
  </w:style>
  <w:style w:type="paragraph" w:styleId="Ttulo5">
    <w:name w:val="heading 5"/>
    <w:basedOn w:val="Normal"/>
    <w:next w:val="Normal"/>
    <w:link w:val="Ttulo5Car"/>
    <w:uiPriority w:val="9"/>
    <w:semiHidden/>
    <w:unhideWhenUsed/>
    <w:qFormat/>
    <w:rsid w:val="009D2A2C"/>
    <w:pPr>
      <w:keepNext/>
      <w:keepLines/>
      <w:spacing w:before="80" w:after="40" w:line="259" w:lineRule="auto"/>
      <w:outlineLvl w:val="4"/>
    </w:pPr>
    <w:rPr>
      <w:rFonts w:asciiTheme="minorHAnsi" w:eastAsiaTheme="majorEastAsia" w:hAnsiTheme="minorHAnsi" w:cstheme="majorBidi"/>
      <w:color w:val="0F4761" w:themeColor="accent1" w:themeShade="BF"/>
      <w14:ligatures w14:val="none"/>
    </w:rPr>
  </w:style>
  <w:style w:type="paragraph" w:styleId="Ttulo6">
    <w:name w:val="heading 6"/>
    <w:basedOn w:val="Normal"/>
    <w:next w:val="Normal"/>
    <w:link w:val="Ttulo6Car"/>
    <w:uiPriority w:val="9"/>
    <w:semiHidden/>
    <w:unhideWhenUsed/>
    <w:qFormat/>
    <w:rsid w:val="009D2A2C"/>
    <w:pPr>
      <w:keepNext/>
      <w:keepLines/>
      <w:spacing w:before="40" w:line="259" w:lineRule="auto"/>
      <w:outlineLvl w:val="5"/>
    </w:pPr>
    <w:rPr>
      <w:rFonts w:asciiTheme="minorHAnsi" w:eastAsiaTheme="majorEastAsia" w:hAnsiTheme="minorHAnsi" w:cstheme="majorBidi"/>
      <w:i/>
      <w:iCs/>
      <w:color w:val="595959" w:themeColor="text1" w:themeTint="A6"/>
      <w14:ligatures w14:val="none"/>
    </w:rPr>
  </w:style>
  <w:style w:type="paragraph" w:styleId="Ttulo7">
    <w:name w:val="heading 7"/>
    <w:basedOn w:val="Normal"/>
    <w:next w:val="Normal"/>
    <w:link w:val="Ttulo7Car"/>
    <w:uiPriority w:val="9"/>
    <w:semiHidden/>
    <w:unhideWhenUsed/>
    <w:qFormat/>
    <w:rsid w:val="009D2A2C"/>
    <w:pPr>
      <w:keepNext/>
      <w:keepLines/>
      <w:spacing w:before="40" w:line="259" w:lineRule="auto"/>
      <w:outlineLvl w:val="6"/>
    </w:pPr>
    <w:rPr>
      <w:rFonts w:asciiTheme="minorHAnsi" w:eastAsiaTheme="majorEastAsia" w:hAnsiTheme="minorHAnsi" w:cstheme="majorBidi"/>
      <w:color w:val="595959" w:themeColor="text1" w:themeTint="A6"/>
      <w14:ligatures w14:val="none"/>
    </w:rPr>
  </w:style>
  <w:style w:type="paragraph" w:styleId="Ttulo8">
    <w:name w:val="heading 8"/>
    <w:basedOn w:val="Normal"/>
    <w:next w:val="Normal"/>
    <w:link w:val="Ttulo8Car"/>
    <w:uiPriority w:val="9"/>
    <w:semiHidden/>
    <w:unhideWhenUsed/>
    <w:qFormat/>
    <w:rsid w:val="009D2A2C"/>
    <w:pPr>
      <w:keepNext/>
      <w:keepLines/>
      <w:spacing w:line="259" w:lineRule="auto"/>
      <w:outlineLvl w:val="7"/>
    </w:pPr>
    <w:rPr>
      <w:rFonts w:asciiTheme="minorHAnsi" w:eastAsiaTheme="majorEastAsia" w:hAnsiTheme="minorHAnsi" w:cstheme="majorBidi"/>
      <w:i/>
      <w:iCs/>
      <w:color w:val="272727" w:themeColor="text1" w:themeTint="D8"/>
      <w14:ligatures w14:val="none"/>
    </w:rPr>
  </w:style>
  <w:style w:type="paragraph" w:styleId="Ttulo9">
    <w:name w:val="heading 9"/>
    <w:basedOn w:val="Normal"/>
    <w:next w:val="Normal"/>
    <w:link w:val="Ttulo9Car"/>
    <w:uiPriority w:val="9"/>
    <w:semiHidden/>
    <w:unhideWhenUsed/>
    <w:qFormat/>
    <w:rsid w:val="009D2A2C"/>
    <w:pPr>
      <w:keepNext/>
      <w:keepLines/>
      <w:spacing w:line="259" w:lineRule="auto"/>
      <w:outlineLvl w:val="8"/>
    </w:pPr>
    <w:rPr>
      <w:rFonts w:asciiTheme="minorHAnsi" w:eastAsiaTheme="majorEastAsia" w:hAnsiTheme="minorHAnsi" w:cstheme="majorBidi"/>
      <w:color w:val="272727" w:themeColor="text1" w:themeTint="D8"/>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D2A2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D2A2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D2A2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D2A2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D2A2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D2A2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D2A2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D2A2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D2A2C"/>
    <w:rPr>
      <w:rFonts w:eastAsiaTheme="majorEastAsia" w:cstheme="majorBidi"/>
      <w:color w:val="272727" w:themeColor="text1" w:themeTint="D8"/>
    </w:rPr>
  </w:style>
  <w:style w:type="paragraph" w:styleId="Ttulo">
    <w:name w:val="Title"/>
    <w:basedOn w:val="Normal"/>
    <w:next w:val="Normal"/>
    <w:link w:val="TtuloCar"/>
    <w:uiPriority w:val="10"/>
    <w:qFormat/>
    <w:rsid w:val="009D2A2C"/>
    <w:pPr>
      <w:spacing w:after="80"/>
      <w:contextualSpacing/>
    </w:pPr>
    <w:rPr>
      <w:rFonts w:asciiTheme="majorHAnsi" w:eastAsiaTheme="majorEastAsia" w:hAnsiTheme="majorHAnsi" w:cstheme="majorBidi"/>
      <w:spacing w:val="-10"/>
      <w:kern w:val="28"/>
      <w:sz w:val="56"/>
      <w:szCs w:val="56"/>
      <w14:ligatures w14:val="none"/>
    </w:rPr>
  </w:style>
  <w:style w:type="character" w:customStyle="1" w:styleId="TtuloCar">
    <w:name w:val="Título Car"/>
    <w:basedOn w:val="Fuentedeprrafopredeter"/>
    <w:link w:val="Ttulo"/>
    <w:uiPriority w:val="10"/>
    <w:rsid w:val="009D2A2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D2A2C"/>
    <w:pPr>
      <w:numPr>
        <w:ilvl w:val="1"/>
      </w:numPr>
      <w:spacing w:after="160" w:line="259" w:lineRule="auto"/>
    </w:pPr>
    <w:rPr>
      <w:rFonts w:asciiTheme="minorHAnsi" w:eastAsiaTheme="majorEastAsia" w:hAnsiTheme="minorHAnsi" w:cstheme="majorBidi"/>
      <w:color w:val="595959" w:themeColor="text1" w:themeTint="A6"/>
      <w:spacing w:val="15"/>
      <w:sz w:val="28"/>
      <w:szCs w:val="28"/>
      <w14:ligatures w14:val="none"/>
    </w:rPr>
  </w:style>
  <w:style w:type="character" w:customStyle="1" w:styleId="SubttuloCar">
    <w:name w:val="Subtítulo Car"/>
    <w:basedOn w:val="Fuentedeprrafopredeter"/>
    <w:link w:val="Subttulo"/>
    <w:uiPriority w:val="11"/>
    <w:rsid w:val="009D2A2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D2A2C"/>
    <w:pPr>
      <w:spacing w:before="160" w:after="160" w:line="259" w:lineRule="auto"/>
      <w:jc w:val="center"/>
    </w:pPr>
    <w:rPr>
      <w:rFonts w:asciiTheme="minorHAnsi" w:hAnsiTheme="minorHAnsi" w:cstheme="minorBidi"/>
      <w:i/>
      <w:iCs/>
      <w:color w:val="404040" w:themeColor="text1" w:themeTint="BF"/>
      <w14:ligatures w14:val="none"/>
    </w:rPr>
  </w:style>
  <w:style w:type="character" w:customStyle="1" w:styleId="CitaCar">
    <w:name w:val="Cita Car"/>
    <w:basedOn w:val="Fuentedeprrafopredeter"/>
    <w:link w:val="Cita"/>
    <w:uiPriority w:val="29"/>
    <w:rsid w:val="009D2A2C"/>
    <w:rPr>
      <w:i/>
      <w:iCs/>
      <w:color w:val="404040" w:themeColor="text1" w:themeTint="BF"/>
    </w:rPr>
  </w:style>
  <w:style w:type="paragraph" w:styleId="Prrafodelista">
    <w:name w:val="List Paragraph"/>
    <w:basedOn w:val="Normal"/>
    <w:uiPriority w:val="34"/>
    <w:qFormat/>
    <w:rsid w:val="009D2A2C"/>
    <w:pPr>
      <w:spacing w:after="160" w:line="259" w:lineRule="auto"/>
      <w:ind w:left="720"/>
      <w:contextualSpacing/>
    </w:pPr>
    <w:rPr>
      <w:rFonts w:asciiTheme="minorHAnsi" w:hAnsiTheme="minorHAnsi" w:cstheme="minorBidi"/>
      <w14:ligatures w14:val="none"/>
    </w:rPr>
  </w:style>
  <w:style w:type="character" w:styleId="nfasisintenso">
    <w:name w:val="Intense Emphasis"/>
    <w:basedOn w:val="Fuentedeprrafopredeter"/>
    <w:uiPriority w:val="21"/>
    <w:qFormat/>
    <w:rsid w:val="009D2A2C"/>
    <w:rPr>
      <w:i/>
      <w:iCs/>
      <w:color w:val="0F4761" w:themeColor="accent1" w:themeShade="BF"/>
    </w:rPr>
  </w:style>
  <w:style w:type="paragraph" w:styleId="Citadestacada">
    <w:name w:val="Intense Quote"/>
    <w:basedOn w:val="Normal"/>
    <w:next w:val="Normal"/>
    <w:link w:val="CitadestacadaCar"/>
    <w:uiPriority w:val="30"/>
    <w:qFormat/>
    <w:rsid w:val="009D2A2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14:ligatures w14:val="none"/>
    </w:rPr>
  </w:style>
  <w:style w:type="character" w:customStyle="1" w:styleId="CitadestacadaCar">
    <w:name w:val="Cita destacada Car"/>
    <w:basedOn w:val="Fuentedeprrafopredeter"/>
    <w:link w:val="Citadestacada"/>
    <w:uiPriority w:val="30"/>
    <w:rsid w:val="009D2A2C"/>
    <w:rPr>
      <w:i/>
      <w:iCs/>
      <w:color w:val="0F4761" w:themeColor="accent1" w:themeShade="BF"/>
    </w:rPr>
  </w:style>
  <w:style w:type="character" w:styleId="Referenciaintensa">
    <w:name w:val="Intense Reference"/>
    <w:basedOn w:val="Fuentedeprrafopredeter"/>
    <w:uiPriority w:val="32"/>
    <w:qFormat/>
    <w:rsid w:val="009D2A2C"/>
    <w:rPr>
      <w:b/>
      <w:bCs/>
      <w:smallCaps/>
      <w:color w:val="0F4761" w:themeColor="accent1" w:themeShade="BF"/>
      <w:spacing w:val="5"/>
    </w:rPr>
  </w:style>
  <w:style w:type="character" w:customStyle="1" w:styleId="contentpasted0">
    <w:name w:val="contentpasted0"/>
    <w:basedOn w:val="Fuentedeprrafopredeter"/>
    <w:rsid w:val="009D2A2C"/>
  </w:style>
  <w:style w:type="paragraph" w:customStyle="1" w:styleId="xmsonormal">
    <w:name w:val="x_msonormal"/>
    <w:basedOn w:val="Normal"/>
    <w:uiPriority w:val="99"/>
    <w:rsid w:val="009D2A2C"/>
    <w:rPr>
      <w:lang w:eastAsia="es-ES"/>
      <w14:ligatures w14:val="none"/>
    </w:rPr>
  </w:style>
  <w:style w:type="character" w:customStyle="1" w:styleId="xcontentpasted0">
    <w:name w:val="x_contentpasted0"/>
    <w:basedOn w:val="Fuentedeprrafopredeter"/>
    <w:rsid w:val="009D2A2C"/>
  </w:style>
  <w:style w:type="paragraph" w:customStyle="1" w:styleId="paragraph">
    <w:name w:val="paragraph"/>
    <w:basedOn w:val="Normal"/>
    <w:rsid w:val="009D2A2C"/>
    <w:pPr>
      <w:spacing w:before="100" w:beforeAutospacing="1" w:after="100" w:afterAutospacing="1"/>
    </w:pPr>
    <w:rPr>
      <w:rFonts w:ascii="Times New Roman" w:hAnsi="Times New Roman" w:cs="Times New Roman"/>
      <w:sz w:val="24"/>
      <w:szCs w:val="24"/>
      <w:lang w:eastAsia="es-ES"/>
      <w14:ligatures w14:val="none"/>
    </w:rPr>
  </w:style>
  <w:style w:type="character" w:customStyle="1" w:styleId="normaltextrun">
    <w:name w:val="normaltextrun"/>
    <w:basedOn w:val="Fuentedeprrafopredeter"/>
    <w:rsid w:val="009D2A2C"/>
  </w:style>
  <w:style w:type="paragraph" w:styleId="Piedepgina">
    <w:name w:val="footer"/>
    <w:basedOn w:val="Normal"/>
    <w:link w:val="PiedepginaCar"/>
    <w:uiPriority w:val="99"/>
    <w:unhideWhenUsed/>
    <w:rsid w:val="009D2A2C"/>
    <w:pPr>
      <w:tabs>
        <w:tab w:val="center" w:pos="4252"/>
        <w:tab w:val="right" w:pos="8504"/>
      </w:tabs>
    </w:pPr>
    <w:rPr>
      <w:rFonts w:asciiTheme="minorHAnsi" w:hAnsiTheme="minorHAnsi" w:cstheme="minorBidi"/>
      <w14:ligatures w14:val="none"/>
    </w:rPr>
  </w:style>
  <w:style w:type="character" w:customStyle="1" w:styleId="PiedepginaCar">
    <w:name w:val="Pie de página Car"/>
    <w:basedOn w:val="Fuentedeprrafopredeter"/>
    <w:link w:val="Piedepgina"/>
    <w:uiPriority w:val="99"/>
    <w:rsid w:val="009D2A2C"/>
  </w:style>
  <w:style w:type="character" w:styleId="Hipervnculo">
    <w:name w:val="Hyperlink"/>
    <w:basedOn w:val="Fuentedeprrafopredeter"/>
    <w:uiPriority w:val="99"/>
    <w:unhideWhenUsed/>
    <w:rsid w:val="009D2A2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noelia.perez@iahorr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aura.martinez@iahorro.com" TargetMode="External"/><Relationship Id="rId5" Type="http://schemas.openxmlformats.org/officeDocument/2006/relationships/image" Target="cid:image001.png@01DAB02B.F778005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595</Words>
  <Characters>3275</Characters>
  <Application>Microsoft Office Word</Application>
  <DocSecurity>0</DocSecurity>
  <Lines>27</Lines>
  <Paragraphs>7</Paragraphs>
  <ScaleCrop>false</ScaleCrop>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Perez</dc:creator>
  <cp:keywords/>
  <dc:description/>
  <cp:lastModifiedBy>Noelia Perez</cp:lastModifiedBy>
  <cp:revision>7</cp:revision>
  <dcterms:created xsi:type="dcterms:W3CDTF">2024-12-10T10:23:00Z</dcterms:created>
  <dcterms:modified xsi:type="dcterms:W3CDTF">2024-12-11T08:37:00Z</dcterms:modified>
</cp:coreProperties>
</file>