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E4D7C" w14:textId="77777777" w:rsidR="00166E58" w:rsidRDefault="00166E58" w:rsidP="00166E58">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Análisis de la decisión del BCE, por Laura Martínez </w:t>
      </w:r>
    </w:p>
    <w:p w14:paraId="5ECF3C5A" w14:textId="653FAADC" w:rsidR="00166E58" w:rsidRPr="00812593" w:rsidRDefault="00E107D5" w:rsidP="00166E58">
      <w:pPr>
        <w:pStyle w:val="xmsonormal"/>
        <w:spacing w:after="160"/>
        <w:jc w:val="center"/>
        <w:rPr>
          <w:rFonts w:ascii="Montserrat" w:hAnsi="Montserrat"/>
          <w:b/>
          <w:bCs/>
          <w:color w:val="243962"/>
          <w:sz w:val="28"/>
          <w:szCs w:val="28"/>
        </w:rPr>
      </w:pPr>
      <w:r>
        <w:rPr>
          <w:rFonts w:ascii="Montserrat" w:hAnsi="Montserrat"/>
          <w:b/>
          <w:bCs/>
          <w:color w:val="243962"/>
          <w:sz w:val="28"/>
          <w:szCs w:val="28"/>
        </w:rPr>
        <w:t xml:space="preserve">El BCE no dará la campanada: mantendrá </w:t>
      </w:r>
      <w:r w:rsidRPr="47B07E09">
        <w:rPr>
          <w:rFonts w:ascii="Montserrat" w:hAnsi="Montserrat"/>
          <w:b/>
          <w:bCs/>
          <w:color w:val="243962"/>
          <w:sz w:val="28"/>
          <w:szCs w:val="28"/>
        </w:rPr>
        <w:t>lo</w:t>
      </w:r>
      <w:r w:rsidR="3C0CD9F4" w:rsidRPr="47B07E09">
        <w:rPr>
          <w:rFonts w:ascii="Montserrat" w:hAnsi="Montserrat"/>
          <w:b/>
          <w:bCs/>
          <w:color w:val="243962"/>
          <w:sz w:val="28"/>
          <w:szCs w:val="28"/>
        </w:rPr>
        <w:t>s</w:t>
      </w:r>
      <w:r>
        <w:rPr>
          <w:rFonts w:ascii="Montserrat" w:hAnsi="Montserrat"/>
          <w:b/>
          <w:bCs/>
          <w:color w:val="243962"/>
          <w:sz w:val="28"/>
          <w:szCs w:val="28"/>
        </w:rPr>
        <w:t xml:space="preserve"> tipos al 2% por </w:t>
      </w:r>
      <w:r w:rsidR="00607344">
        <w:rPr>
          <w:rFonts w:ascii="Montserrat" w:hAnsi="Montserrat"/>
          <w:b/>
          <w:bCs/>
          <w:color w:val="243962"/>
          <w:sz w:val="28"/>
          <w:szCs w:val="28"/>
        </w:rPr>
        <w:t>cuarta</w:t>
      </w:r>
      <w:r>
        <w:rPr>
          <w:rFonts w:ascii="Montserrat" w:hAnsi="Montserrat"/>
          <w:b/>
          <w:bCs/>
          <w:color w:val="243962"/>
          <w:sz w:val="28"/>
          <w:szCs w:val="28"/>
        </w:rPr>
        <w:t xml:space="preserve"> reunión consecutiva</w:t>
      </w:r>
      <w:r w:rsidR="00607344">
        <w:rPr>
          <w:rFonts w:ascii="Montserrat" w:hAnsi="Montserrat"/>
          <w:b/>
          <w:bCs/>
          <w:color w:val="243962"/>
          <w:sz w:val="28"/>
          <w:szCs w:val="28"/>
        </w:rPr>
        <w:t xml:space="preserve"> y dejará la puerta abierta a alguna subida en 2026</w:t>
      </w:r>
    </w:p>
    <w:p w14:paraId="4F4B2C46" w14:textId="77777777" w:rsidR="00166E58" w:rsidRDefault="00166E58" w:rsidP="00166E58">
      <w:pPr>
        <w:rPr>
          <w:rFonts w:ascii="Muli" w:hAnsi="Muli"/>
          <w:sz w:val="24"/>
          <w:szCs w:val="24"/>
        </w:rPr>
      </w:pPr>
    </w:p>
    <w:p w14:paraId="11EE62A2" w14:textId="7D1D0DD7" w:rsidR="00166E58" w:rsidRPr="00AC043F" w:rsidRDefault="00166E58" w:rsidP="00166E58">
      <w:pPr>
        <w:rPr>
          <w:rFonts w:ascii="Muli" w:hAnsi="Muli"/>
          <w:sz w:val="24"/>
          <w:szCs w:val="24"/>
        </w:rPr>
      </w:pPr>
      <w:r w:rsidRPr="200BADFB">
        <w:rPr>
          <w:rFonts w:ascii="Muli" w:hAnsi="Muli"/>
          <w:sz w:val="24"/>
          <w:szCs w:val="24"/>
        </w:rPr>
        <w:t xml:space="preserve">Madrid, </w:t>
      </w:r>
      <w:r>
        <w:rPr>
          <w:rFonts w:ascii="Muli" w:hAnsi="Muli"/>
          <w:sz w:val="24"/>
          <w:szCs w:val="24"/>
        </w:rPr>
        <w:t>17 de diciembre</w:t>
      </w:r>
      <w:r w:rsidRPr="200BADFB">
        <w:rPr>
          <w:rFonts w:ascii="Muli" w:hAnsi="Muli"/>
          <w:sz w:val="24"/>
          <w:szCs w:val="24"/>
        </w:rPr>
        <w:t xml:space="preserve"> de 2025</w:t>
      </w:r>
    </w:p>
    <w:p w14:paraId="014A953B" w14:textId="562088E7" w:rsidR="00166E58" w:rsidRDefault="00166E58" w:rsidP="00166E58">
      <w:pPr>
        <w:pStyle w:val="paragraph"/>
        <w:spacing w:before="240"/>
        <w:textAlignment w:val="baseline"/>
        <w:rPr>
          <w:rFonts w:ascii="Muli" w:hAnsi="Muli"/>
        </w:rPr>
      </w:pPr>
      <w:r>
        <w:rPr>
          <w:rFonts w:ascii="Muli" w:hAnsi="Muli"/>
        </w:rPr>
        <w:t xml:space="preserve">“El Banco Central Europeo (BCE) celebrará este jueves 18 de diciembre de 2025 su última reunión del año y todo apunta a que será una cita sin grandes sorpresas. </w:t>
      </w:r>
      <w:r w:rsidRPr="00166E58">
        <w:rPr>
          <w:rFonts w:ascii="Muli" w:hAnsi="Muli"/>
        </w:rPr>
        <w:t>Con la información que tenemos ahora mismo sobre la mesa, todo indica que el</w:t>
      </w:r>
      <w:r>
        <w:rPr>
          <w:rFonts w:ascii="Muli" w:hAnsi="Muli"/>
        </w:rPr>
        <w:t xml:space="preserve"> organismo europeo que preside Christine Lagarde</w:t>
      </w:r>
      <w:r w:rsidRPr="00166E58">
        <w:rPr>
          <w:rFonts w:ascii="Muli" w:hAnsi="Muli"/>
        </w:rPr>
        <w:t xml:space="preserve"> mantendrá los tipos de interés </w:t>
      </w:r>
      <w:r>
        <w:rPr>
          <w:rFonts w:ascii="Muli" w:hAnsi="Muli"/>
        </w:rPr>
        <w:t xml:space="preserve">otra vez </w:t>
      </w:r>
      <w:r w:rsidRPr="00166E58">
        <w:rPr>
          <w:rFonts w:ascii="Muli" w:hAnsi="Muli"/>
        </w:rPr>
        <w:t xml:space="preserve">en el 2%, prolongando la pausa que ya viene aplicando desde hace </w:t>
      </w:r>
      <w:r w:rsidR="006716F9">
        <w:rPr>
          <w:rFonts w:ascii="Muli" w:hAnsi="Muli"/>
        </w:rPr>
        <w:t>4</w:t>
      </w:r>
      <w:r w:rsidRPr="00166E58">
        <w:rPr>
          <w:rFonts w:ascii="Muli" w:hAnsi="Muli"/>
        </w:rPr>
        <w:t xml:space="preserve"> meses.</w:t>
      </w:r>
      <w:r w:rsidR="00E107D5">
        <w:rPr>
          <w:rFonts w:ascii="Muli" w:hAnsi="Muli"/>
        </w:rPr>
        <w:t xml:space="preserve"> </w:t>
      </w:r>
      <w:r w:rsidR="00E107D5" w:rsidRPr="00E107D5">
        <w:rPr>
          <w:rFonts w:ascii="Muli" w:hAnsi="Muli"/>
        </w:rPr>
        <w:t xml:space="preserve">No se esperan grandes anuncios, pero sí mensajes importantes que pueden marcar el rumbo </w:t>
      </w:r>
      <w:r w:rsidR="00E107D5">
        <w:rPr>
          <w:rFonts w:ascii="Muli" w:hAnsi="Muli"/>
        </w:rPr>
        <w:t>en 2026.</w:t>
      </w:r>
    </w:p>
    <w:p w14:paraId="150190B4" w14:textId="77777777" w:rsidR="00E107D5" w:rsidRDefault="00166E58" w:rsidP="00166E58">
      <w:pPr>
        <w:pStyle w:val="paragraph"/>
        <w:spacing w:before="240"/>
        <w:textAlignment w:val="baseline"/>
        <w:rPr>
          <w:rFonts w:ascii="Muli" w:hAnsi="Muli"/>
        </w:rPr>
      </w:pPr>
      <w:r w:rsidRPr="00166E58">
        <w:rPr>
          <w:rFonts w:ascii="Muli" w:hAnsi="Muli"/>
        </w:rPr>
        <w:t xml:space="preserve">¿Por qué </w:t>
      </w:r>
      <w:r>
        <w:rPr>
          <w:rFonts w:ascii="Muli" w:hAnsi="Muli"/>
        </w:rPr>
        <w:t>no se atreve a mover tipos</w:t>
      </w:r>
      <w:r w:rsidR="00E107D5">
        <w:rPr>
          <w:rFonts w:ascii="Muli" w:hAnsi="Muli"/>
        </w:rPr>
        <w:t xml:space="preserve"> ahora? El motivo principal es que l</w:t>
      </w:r>
      <w:r w:rsidRPr="00166E58">
        <w:rPr>
          <w:rFonts w:ascii="Muli" w:hAnsi="Muli"/>
        </w:rPr>
        <w:t>a economía europea se mueve en un punto bastante equilibrado. Por un lado, el crecimiento sigue siendo moderado, pero estable, y por otro, la inflación está mucho más controlada que hace un par de años y se sitúa cerca del objetivo del 2% q</w:t>
      </w:r>
      <w:r w:rsidR="00E107D5">
        <w:rPr>
          <w:rFonts w:ascii="Muli" w:hAnsi="Muli"/>
        </w:rPr>
        <w:t>ue se ha marcado</w:t>
      </w:r>
      <w:r w:rsidRPr="00166E58">
        <w:rPr>
          <w:rFonts w:ascii="Muli" w:hAnsi="Muli"/>
        </w:rPr>
        <w:t xml:space="preserve"> el propio BCE</w:t>
      </w:r>
      <w:r>
        <w:rPr>
          <w:rFonts w:ascii="Muli" w:hAnsi="Muli"/>
        </w:rPr>
        <w:t xml:space="preserve"> (en noviembre se situó en el 2,2% en la eurozona)</w:t>
      </w:r>
      <w:r w:rsidRPr="00166E58">
        <w:rPr>
          <w:rFonts w:ascii="Muli" w:hAnsi="Muli"/>
        </w:rPr>
        <w:t>. En este escenario, no hay una urgencia clara para subir o bajar los tipos en esta reunión de diciembre.</w:t>
      </w:r>
      <w:r w:rsidR="00E107D5">
        <w:rPr>
          <w:rFonts w:ascii="Muli" w:hAnsi="Muli"/>
        </w:rPr>
        <w:t xml:space="preserve"> </w:t>
      </w:r>
    </w:p>
    <w:p w14:paraId="5DEAE592" w14:textId="77777777" w:rsidR="00E107D5" w:rsidRDefault="00E107D5" w:rsidP="00166E58">
      <w:pPr>
        <w:pStyle w:val="paragraph"/>
        <w:spacing w:before="240"/>
        <w:textAlignment w:val="baseline"/>
        <w:rPr>
          <w:rFonts w:ascii="Muli" w:hAnsi="Muli"/>
        </w:rPr>
      </w:pPr>
      <w:r>
        <w:rPr>
          <w:rFonts w:ascii="Muli" w:hAnsi="Muli"/>
        </w:rPr>
        <w:t>Además, l</w:t>
      </w:r>
      <w:r w:rsidR="00166E58" w:rsidRPr="00166E58">
        <w:rPr>
          <w:rFonts w:ascii="Muli" w:hAnsi="Muli"/>
        </w:rPr>
        <w:t>as previsiones del BCE reflejan precisamente esa estabilidad: la economía de la eurozona crecerá alrededor del 1,2% en 2025, con una inflación media ligeramente por encima del 2</w:t>
      </w:r>
      <w:r w:rsidR="00166E58">
        <w:rPr>
          <w:rFonts w:ascii="Muli" w:hAnsi="Muli"/>
        </w:rPr>
        <w:t>%</w:t>
      </w:r>
      <w:r w:rsidR="00166E58" w:rsidRPr="00166E58">
        <w:rPr>
          <w:rFonts w:ascii="Muli" w:hAnsi="Muli"/>
        </w:rPr>
        <w:t xml:space="preserve">, que bajará en 2026 y volverá a acercarse al objetivo en 2027. </w:t>
      </w:r>
      <w:r>
        <w:rPr>
          <w:rFonts w:ascii="Muli" w:hAnsi="Muli"/>
        </w:rPr>
        <w:t xml:space="preserve">Estas </w:t>
      </w:r>
      <w:r w:rsidR="00166E58" w:rsidRPr="00166E58">
        <w:rPr>
          <w:rFonts w:ascii="Muli" w:hAnsi="Muli"/>
        </w:rPr>
        <w:t>cifras invitan a la calma y a mantener el actual nivel de tipos mientras se sigue observando cómo evolucionan los precios, los salarios y el consumo.</w:t>
      </w:r>
      <w:r>
        <w:rPr>
          <w:rFonts w:ascii="Muli" w:hAnsi="Muli"/>
        </w:rPr>
        <w:t xml:space="preserve"> </w:t>
      </w:r>
    </w:p>
    <w:p w14:paraId="7A3E17AE" w14:textId="12FCC8A8" w:rsidR="00E107D5" w:rsidRDefault="00E107D5" w:rsidP="00166E58">
      <w:pPr>
        <w:pStyle w:val="paragraph"/>
        <w:spacing w:before="240"/>
        <w:textAlignment w:val="baseline"/>
        <w:rPr>
          <w:rFonts w:ascii="Muli" w:hAnsi="Muli"/>
        </w:rPr>
      </w:pPr>
      <w:r w:rsidRPr="00E107D5">
        <w:rPr>
          <w:rFonts w:ascii="Muli" w:hAnsi="Muli"/>
        </w:rPr>
        <w:t xml:space="preserve">Por eso, más allá de la decisión concreta </w:t>
      </w:r>
      <w:r>
        <w:rPr>
          <w:rFonts w:ascii="Muli" w:hAnsi="Muli"/>
        </w:rPr>
        <w:t>(</w:t>
      </w:r>
      <w:r w:rsidRPr="00E107D5">
        <w:rPr>
          <w:rFonts w:ascii="Muli" w:hAnsi="Muli"/>
        </w:rPr>
        <w:t>que todo apunta a que será mantener los tipos tal y como están</w:t>
      </w:r>
      <w:r>
        <w:rPr>
          <w:rFonts w:ascii="Muli" w:hAnsi="Muli"/>
        </w:rPr>
        <w:t>)</w:t>
      </w:r>
      <w:r w:rsidRPr="00E107D5">
        <w:rPr>
          <w:rFonts w:ascii="Muli" w:hAnsi="Muli"/>
        </w:rPr>
        <w:t xml:space="preserve">, lo importante de esta reunión será el mensaje que lance </w:t>
      </w:r>
      <w:r>
        <w:rPr>
          <w:rFonts w:ascii="Muli" w:hAnsi="Muli"/>
        </w:rPr>
        <w:t>Lagarde.</w:t>
      </w:r>
      <w:r w:rsidRPr="00E107D5">
        <w:rPr>
          <w:rFonts w:ascii="Muli" w:hAnsi="Muli"/>
        </w:rPr>
        <w:t xml:space="preserve"> Lo normal es que insista en que seguirá tomando decisiones </w:t>
      </w:r>
      <w:r>
        <w:rPr>
          <w:rFonts w:ascii="Muli" w:hAnsi="Muli"/>
        </w:rPr>
        <w:t>“mes a mes</w:t>
      </w:r>
      <w:r w:rsidRPr="00E107D5">
        <w:rPr>
          <w:rFonts w:ascii="Muli" w:hAnsi="Muli"/>
        </w:rPr>
        <w:t>”, sin comprometerse a cambios inmediatos y dejando claro que la prioridad sigue siendo controlar la inflación.</w:t>
      </w:r>
      <w:r>
        <w:rPr>
          <w:rFonts w:ascii="Muli" w:hAnsi="Muli"/>
        </w:rPr>
        <w:t xml:space="preserve"> Y es que, a</w:t>
      </w:r>
      <w:r w:rsidRPr="00E107D5">
        <w:rPr>
          <w:rFonts w:ascii="Muli" w:hAnsi="Muli"/>
        </w:rPr>
        <w:t>unque en Estados Unidos la Reserva Federal</w:t>
      </w:r>
      <w:r>
        <w:rPr>
          <w:rFonts w:ascii="Muli" w:hAnsi="Muli"/>
        </w:rPr>
        <w:t xml:space="preserve"> (FED)</w:t>
      </w:r>
      <w:r w:rsidRPr="00E107D5">
        <w:rPr>
          <w:rFonts w:ascii="Muli" w:hAnsi="Muli"/>
        </w:rPr>
        <w:t xml:space="preserve"> ha empezado a recortar tipos</w:t>
      </w:r>
      <w:r>
        <w:rPr>
          <w:rFonts w:ascii="Muli" w:hAnsi="Muli"/>
        </w:rPr>
        <w:t xml:space="preserve"> de forma bastante contundente</w:t>
      </w:r>
      <w:r w:rsidRPr="00E107D5">
        <w:rPr>
          <w:rFonts w:ascii="Muli" w:hAnsi="Muli"/>
        </w:rPr>
        <w:t xml:space="preserve">, esto no obliga al BCE a hacer lo mismo ahora. De hecho, en Europa los mercados han reaccionado con un </w:t>
      </w:r>
      <w:r>
        <w:rPr>
          <w:rFonts w:ascii="Muli" w:hAnsi="Muli"/>
        </w:rPr>
        <w:t>e</w:t>
      </w:r>
      <w:r w:rsidRPr="00E107D5">
        <w:rPr>
          <w:rFonts w:ascii="Muli" w:hAnsi="Muli"/>
        </w:rPr>
        <w:t xml:space="preserve">uríbor algo más alto, lo que refuerza la idea de que el </w:t>
      </w:r>
      <w:r>
        <w:rPr>
          <w:rFonts w:ascii="Muli" w:hAnsi="Muli"/>
        </w:rPr>
        <w:t>organismo europeo</w:t>
      </w:r>
      <w:r w:rsidRPr="00E107D5">
        <w:rPr>
          <w:rFonts w:ascii="Muli" w:hAnsi="Muli"/>
        </w:rPr>
        <w:t xml:space="preserve"> no siente presión para mover ficha </w:t>
      </w:r>
      <w:r>
        <w:rPr>
          <w:rFonts w:ascii="Muli" w:hAnsi="Muli"/>
        </w:rPr>
        <w:t>este mes de diciembre.</w:t>
      </w:r>
    </w:p>
    <w:p w14:paraId="30802179" w14:textId="77777777" w:rsidR="00E107D5" w:rsidRDefault="00E107D5" w:rsidP="00E107D5">
      <w:pPr>
        <w:pStyle w:val="paragraph"/>
        <w:spacing w:before="240"/>
        <w:textAlignment w:val="baseline"/>
        <w:rPr>
          <w:rFonts w:ascii="Muli" w:hAnsi="Muli"/>
        </w:rPr>
      </w:pPr>
      <w:r>
        <w:rPr>
          <w:rFonts w:ascii="Muli" w:hAnsi="Muli"/>
        </w:rPr>
        <w:t xml:space="preserve">¿Cómo afecta esto al mercado hipotecario? </w:t>
      </w:r>
      <w:r w:rsidRPr="00E107D5">
        <w:rPr>
          <w:rFonts w:ascii="Muli" w:hAnsi="Muli"/>
        </w:rPr>
        <w:t xml:space="preserve">La estabilidad de los tipos oficiales suele traducirse, aunque no siempre de forma inmediata, en un mercado hipotecario más previsible. En los últimos meses, esta pausa del </w:t>
      </w:r>
      <w:r w:rsidRPr="00E107D5">
        <w:rPr>
          <w:rFonts w:ascii="Muli" w:hAnsi="Muli"/>
        </w:rPr>
        <w:lastRenderedPageBreak/>
        <w:t xml:space="preserve">BCE ya ha permitido que los bancos </w:t>
      </w:r>
      <w:r>
        <w:rPr>
          <w:rFonts w:ascii="Muli" w:hAnsi="Muli"/>
        </w:rPr>
        <w:t xml:space="preserve">compitan entre ellos y </w:t>
      </w:r>
      <w:r w:rsidRPr="00E107D5">
        <w:rPr>
          <w:rFonts w:ascii="Muli" w:hAnsi="Muli"/>
        </w:rPr>
        <w:t>ajusten</w:t>
      </w:r>
      <w:r>
        <w:rPr>
          <w:rFonts w:ascii="Muli" w:hAnsi="Muli"/>
        </w:rPr>
        <w:t xml:space="preserve"> a la baja</w:t>
      </w:r>
      <w:r w:rsidRPr="00E107D5">
        <w:rPr>
          <w:rFonts w:ascii="Muli" w:hAnsi="Muli"/>
        </w:rPr>
        <w:t xml:space="preserve"> sus ofertas</w:t>
      </w:r>
      <w:r>
        <w:rPr>
          <w:rFonts w:ascii="Muli" w:hAnsi="Muli"/>
        </w:rPr>
        <w:t>. A partir de ahora es posible que todo em</w:t>
      </w:r>
      <w:r w:rsidRPr="00E107D5">
        <w:rPr>
          <w:rFonts w:ascii="Muli" w:hAnsi="Muli"/>
        </w:rPr>
        <w:t>piece a normalizarse</w:t>
      </w:r>
      <w:r>
        <w:rPr>
          <w:rFonts w:ascii="Muli" w:hAnsi="Muli"/>
        </w:rPr>
        <w:t xml:space="preserve"> y ya no veamos tantos movimientos por parte de las entidades.</w:t>
      </w:r>
    </w:p>
    <w:p w14:paraId="3E90DDF9" w14:textId="77777777" w:rsidR="00E107D5" w:rsidRDefault="00E107D5" w:rsidP="00E107D5">
      <w:pPr>
        <w:pStyle w:val="paragraph"/>
        <w:spacing w:before="240"/>
        <w:textAlignment w:val="baseline"/>
        <w:rPr>
          <w:rFonts w:ascii="Muli" w:hAnsi="Muli"/>
        </w:rPr>
      </w:pPr>
      <w:r w:rsidRPr="00E107D5">
        <w:rPr>
          <w:rFonts w:ascii="Muli" w:hAnsi="Muli"/>
        </w:rPr>
        <w:t xml:space="preserve">En el caso de las hipotecas variables, el efecto más directo viene a través del </w:t>
      </w:r>
      <w:r>
        <w:rPr>
          <w:rFonts w:ascii="Muli" w:hAnsi="Muli"/>
        </w:rPr>
        <w:t>e</w:t>
      </w:r>
      <w:r w:rsidRPr="00E107D5">
        <w:rPr>
          <w:rFonts w:ascii="Muli" w:hAnsi="Muli"/>
        </w:rPr>
        <w:t xml:space="preserve">uríbor. Aunque este indicador </w:t>
      </w:r>
      <w:r>
        <w:rPr>
          <w:rFonts w:ascii="Muli" w:hAnsi="Muli"/>
        </w:rPr>
        <w:t xml:space="preserve">ha repuntado un poco en los últimos meses y </w:t>
      </w:r>
      <w:r w:rsidRPr="00E107D5">
        <w:rPr>
          <w:rFonts w:ascii="Muli" w:hAnsi="Muli"/>
        </w:rPr>
        <w:t xml:space="preserve">no depende solo del BCE, la expectativa </w:t>
      </w:r>
      <w:r>
        <w:rPr>
          <w:rFonts w:ascii="Muli" w:hAnsi="Muli"/>
        </w:rPr>
        <w:t>es</w:t>
      </w:r>
      <w:r w:rsidRPr="00E107D5">
        <w:rPr>
          <w:rFonts w:ascii="Muli" w:hAnsi="Muli"/>
        </w:rPr>
        <w:t xml:space="preserve"> </w:t>
      </w:r>
      <w:r>
        <w:rPr>
          <w:rFonts w:ascii="Muli" w:hAnsi="Muli"/>
        </w:rPr>
        <w:t>que, con el mantenimiento de tipos, el e</w:t>
      </w:r>
      <w:r w:rsidRPr="00E107D5">
        <w:rPr>
          <w:rFonts w:ascii="Muli" w:hAnsi="Muli"/>
        </w:rPr>
        <w:t>uríbor no vuelva a repuntar con fuerza</w:t>
      </w:r>
      <w:r>
        <w:rPr>
          <w:rFonts w:ascii="Muli" w:hAnsi="Muli"/>
        </w:rPr>
        <w:t xml:space="preserve">, si no que se mantenga más o menos en el umbral actual, algo por encima del 2%. </w:t>
      </w:r>
    </w:p>
    <w:p w14:paraId="3396AF8C" w14:textId="1EE8D00C" w:rsidR="00E107D5" w:rsidRDefault="00E107D5" w:rsidP="00166E58">
      <w:pPr>
        <w:pStyle w:val="paragraph"/>
        <w:spacing w:before="240"/>
        <w:textAlignment w:val="baseline"/>
        <w:rPr>
          <w:rFonts w:ascii="Muli" w:hAnsi="Muli"/>
        </w:rPr>
      </w:pPr>
      <w:r>
        <w:rPr>
          <w:rFonts w:ascii="Muli" w:hAnsi="Muli"/>
        </w:rPr>
        <w:t>¿Qué pasará en 2026? E</w:t>
      </w:r>
      <w:r w:rsidRPr="00E107D5">
        <w:rPr>
          <w:rFonts w:ascii="Muli" w:hAnsi="Muli"/>
        </w:rPr>
        <w:t>l escenario más probable es que los tipos se mantengan alrededor del 2% durante los próximos meses. Eso sí, si la economía europea sigue comportándose mejor de lo esperado y la inflación no termina de bajar del todo, no se puede descartar que en 2026 el B</w:t>
      </w:r>
      <w:r w:rsidR="00607344">
        <w:rPr>
          <w:rFonts w:ascii="Muli" w:hAnsi="Muli"/>
        </w:rPr>
        <w:t xml:space="preserve">anco Central Europeo </w:t>
      </w:r>
      <w:r w:rsidRPr="00E107D5">
        <w:rPr>
          <w:rFonts w:ascii="Muli" w:hAnsi="Muli"/>
        </w:rPr>
        <w:t>empiece a plantearse pequeñas subidas de tipos.</w:t>
      </w:r>
    </w:p>
    <w:p w14:paraId="2662FE9A" w14:textId="5015BE2E" w:rsidR="00E107D5" w:rsidRPr="00E107D5" w:rsidRDefault="00E107D5" w:rsidP="00E107D5">
      <w:pPr>
        <w:pStyle w:val="paragraph"/>
        <w:spacing w:before="240"/>
        <w:textAlignment w:val="baseline"/>
        <w:rPr>
          <w:rFonts w:ascii="Muli" w:hAnsi="Muli"/>
        </w:rPr>
      </w:pPr>
      <w:r w:rsidRPr="00E107D5">
        <w:rPr>
          <w:rFonts w:ascii="Muli" w:hAnsi="Muli"/>
        </w:rPr>
        <w:t>Por eso, para quienes estén valorando firmar una hipoteca, este momento puede ser una buena ventana de oportunidad para analizar bien qué tipo de interés encaja mejor con su perfil. La estabilidad actual permite elegir con más tranquilidad entre una hipoteca fija</w:t>
      </w:r>
      <w:r>
        <w:rPr>
          <w:rFonts w:ascii="Muli" w:hAnsi="Muli"/>
        </w:rPr>
        <w:t xml:space="preserve"> o</w:t>
      </w:r>
      <w:r w:rsidRPr="00E107D5">
        <w:rPr>
          <w:rFonts w:ascii="Muli" w:hAnsi="Muli"/>
        </w:rPr>
        <w:t xml:space="preserve"> mixta</w:t>
      </w:r>
      <w:r>
        <w:rPr>
          <w:rFonts w:ascii="Muli" w:hAnsi="Muli"/>
        </w:rPr>
        <w:t xml:space="preserve"> (las variables siguen sin ser muy atractivas)</w:t>
      </w:r>
      <w:r w:rsidRPr="00E107D5">
        <w:rPr>
          <w:rFonts w:ascii="Muli" w:hAnsi="Muli"/>
        </w:rPr>
        <w:t>, teniendo en cuenta que el escenario a medio plazo ya no es tan claramente bajista como algunos pensaban hace unos meses</w:t>
      </w:r>
      <w:r>
        <w:rPr>
          <w:rFonts w:ascii="Muli" w:hAnsi="Muli"/>
        </w:rPr>
        <w:t>”.</w:t>
      </w:r>
    </w:p>
    <w:p w14:paraId="45E2A429" w14:textId="77777777" w:rsidR="00E107D5" w:rsidRDefault="00E107D5" w:rsidP="00166E58">
      <w:pPr>
        <w:rPr>
          <w:rStyle w:val="contentpasted0"/>
          <w:rFonts w:ascii="Muli" w:hAnsi="Muli"/>
          <w:color w:val="000000"/>
          <w:sz w:val="24"/>
          <w:szCs w:val="24"/>
          <w:u w:val="single"/>
        </w:rPr>
      </w:pPr>
    </w:p>
    <w:p w14:paraId="2C616839" w14:textId="6F31003A" w:rsidR="00166E58" w:rsidRDefault="00166E58" w:rsidP="00166E58">
      <w:pPr>
        <w:rPr>
          <w:rStyle w:val="contentpasted0"/>
          <w:rFonts w:ascii="Muli" w:hAnsi="Muli"/>
          <w:color w:val="000000"/>
          <w:sz w:val="24"/>
          <w:szCs w:val="24"/>
          <w:u w:val="single"/>
        </w:rPr>
      </w:pPr>
      <w:r>
        <w:rPr>
          <w:rStyle w:val="contentpasted0"/>
          <w:rFonts w:ascii="Muli" w:hAnsi="Muli"/>
          <w:color w:val="000000"/>
          <w:sz w:val="24"/>
          <w:szCs w:val="24"/>
          <w:u w:val="single"/>
        </w:rPr>
        <w:t>Laura Martínez, portavoz de iAhorro.</w:t>
      </w:r>
    </w:p>
    <w:p w14:paraId="2FE82E58" w14:textId="77777777" w:rsidR="00166E58" w:rsidRPr="000B5564" w:rsidRDefault="00166E58" w:rsidP="00166E58">
      <w:pPr>
        <w:rPr>
          <w:rStyle w:val="contentpasted0"/>
          <w:rFonts w:ascii="Muli" w:hAnsi="Muli"/>
          <w:color w:val="000000"/>
          <w:sz w:val="24"/>
          <w:szCs w:val="24"/>
          <w:u w:val="single"/>
        </w:rPr>
      </w:pPr>
    </w:p>
    <w:p w14:paraId="7946C56D" w14:textId="77777777" w:rsidR="00166E58" w:rsidRDefault="00166E58" w:rsidP="00166E58">
      <w:pPr>
        <w:rPr>
          <w:rStyle w:val="contentpasted0"/>
          <w:rFonts w:ascii="Muli" w:hAnsi="Muli"/>
          <w:i/>
          <w:iCs/>
          <w:color w:val="000000"/>
          <w:u w:val="single"/>
        </w:rPr>
      </w:pPr>
    </w:p>
    <w:p w14:paraId="2B10D02C" w14:textId="77777777" w:rsidR="00166E58" w:rsidRDefault="00166E58" w:rsidP="00166E58">
      <w:pPr>
        <w:rPr>
          <w:rStyle w:val="contentpasted0"/>
          <w:rFonts w:ascii="Muli" w:hAnsi="Muli"/>
          <w:i/>
          <w:iCs/>
          <w:color w:val="000000"/>
          <w:u w:val="single"/>
        </w:rPr>
      </w:pPr>
    </w:p>
    <w:p w14:paraId="3F0EFF47" w14:textId="77777777" w:rsidR="00166E58" w:rsidRDefault="00166E58" w:rsidP="00166E58">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33"/>
        <w:gridCol w:w="2537"/>
        <w:gridCol w:w="2522"/>
      </w:tblGrid>
      <w:tr w:rsidR="00166E58" w:rsidRPr="008B3C70" w14:paraId="330C4CDE" w14:textId="77777777" w:rsidTr="00EE6B8D">
        <w:trPr>
          <w:trHeight w:val="132"/>
        </w:trPr>
        <w:tc>
          <w:tcPr>
            <w:tcW w:w="1980" w:type="dxa"/>
            <w:tcMar>
              <w:top w:w="0" w:type="dxa"/>
              <w:left w:w="108" w:type="dxa"/>
              <w:bottom w:w="0" w:type="dxa"/>
              <w:right w:w="108" w:type="dxa"/>
            </w:tcMar>
            <w:vAlign w:val="center"/>
            <w:hideMark/>
          </w:tcPr>
          <w:p w14:paraId="3D6411B9" w14:textId="77777777" w:rsidR="00166E58" w:rsidRDefault="00166E58" w:rsidP="00EE6B8D">
            <w:pPr>
              <w:spacing w:line="252" w:lineRule="auto"/>
              <w:rPr>
                <w:rFonts w:ascii="Aptos" w:hAnsi="Aptos" w:cs="Aptos"/>
                <w:b/>
                <w:bCs/>
                <w:sz w:val="18"/>
                <w:szCs w:val="18"/>
              </w:rPr>
            </w:pPr>
            <w:r>
              <w:rPr>
                <w:noProof/>
              </w:rPr>
              <w:drawing>
                <wp:inline distT="0" distB="0" distL="0" distR="0" wp14:anchorId="3148D160" wp14:editId="51951A6E">
                  <wp:extent cx="1154109" cy="571500"/>
                  <wp:effectExtent l="0" t="0" r="0" b="0"/>
                  <wp:docPr id="1332602733" name="Imagen 1" descr="Logotipo&#10;&#10;Descripción generada automáticamente">
                    <a:extLst xmlns:a="http://schemas.openxmlformats.org/drawingml/2006/main">
                      <a:ext uri="{FF2B5EF4-FFF2-40B4-BE49-F238E27FC236}">
                        <a16:creationId xmlns:a16="http://schemas.microsoft.com/office/drawing/2014/main" id="{5B583366-C31A-48C8-AB4F-EB8960EFDD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56213" cy="572542"/>
                          </a:xfrm>
                          <a:prstGeom prst="rect">
                            <a:avLst/>
                          </a:prstGeom>
                        </pic:spPr>
                      </pic:pic>
                    </a:graphicData>
                  </a:graphic>
                </wp:inline>
              </w:drawing>
            </w:r>
          </w:p>
        </w:tc>
        <w:tc>
          <w:tcPr>
            <w:tcW w:w="2556" w:type="dxa"/>
            <w:tcMar>
              <w:top w:w="0" w:type="dxa"/>
              <w:left w:w="108" w:type="dxa"/>
              <w:bottom w:w="0" w:type="dxa"/>
              <w:right w:w="108" w:type="dxa"/>
            </w:tcMar>
            <w:vAlign w:val="center"/>
          </w:tcPr>
          <w:p w14:paraId="4308B242" w14:textId="77777777" w:rsidR="00166E58" w:rsidRDefault="00166E58" w:rsidP="00EE6B8D">
            <w:pPr>
              <w:spacing w:line="252" w:lineRule="auto"/>
              <w:jc w:val="center"/>
              <w:rPr>
                <w:b/>
                <w:bCs/>
                <w:sz w:val="18"/>
                <w:szCs w:val="18"/>
              </w:rPr>
            </w:pPr>
          </w:p>
          <w:p w14:paraId="3FAB75D4" w14:textId="77777777" w:rsidR="00166E58" w:rsidRDefault="00166E58" w:rsidP="00EE6B8D">
            <w:pPr>
              <w:spacing w:line="252" w:lineRule="auto"/>
              <w:jc w:val="center"/>
              <w:rPr>
                <w:b/>
                <w:bCs/>
                <w:sz w:val="18"/>
                <w:szCs w:val="18"/>
              </w:rPr>
            </w:pPr>
          </w:p>
          <w:p w14:paraId="2FD4166A" w14:textId="77777777" w:rsidR="00166E58" w:rsidRDefault="00166E58" w:rsidP="00EE6B8D">
            <w:pPr>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sz w:val="18"/>
                  <w:szCs w:val="18"/>
                </w:rPr>
                <w:t>laura.martinez@iahorro.com</w:t>
              </w:r>
            </w:hyperlink>
          </w:p>
          <w:p w14:paraId="766CB686" w14:textId="77777777" w:rsidR="00166E58" w:rsidRDefault="00166E58" w:rsidP="00EE6B8D">
            <w:pPr>
              <w:spacing w:line="252" w:lineRule="auto"/>
              <w:jc w:val="center"/>
              <w:rPr>
                <w:b/>
                <w:bCs/>
                <w:sz w:val="18"/>
                <w:szCs w:val="18"/>
                <w:lang w:val="pt-PT"/>
              </w:rPr>
            </w:pPr>
          </w:p>
          <w:p w14:paraId="43A32099" w14:textId="77777777" w:rsidR="00166E58" w:rsidRDefault="00166E58" w:rsidP="00EE6B8D">
            <w:pPr>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64267967" w14:textId="77777777" w:rsidR="00166E58" w:rsidRDefault="00166E58" w:rsidP="00EE6B8D">
            <w:pPr>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6" w:history="1">
              <w:r>
                <w:rPr>
                  <w:sz w:val="18"/>
                  <w:szCs w:val="18"/>
                  <w:lang w:val="pt-PT"/>
                </w:rPr>
                <w:t>noelia.perez@iahorro.com</w:t>
              </w:r>
            </w:hyperlink>
          </w:p>
        </w:tc>
      </w:tr>
    </w:tbl>
    <w:p w14:paraId="79EDC26D" w14:textId="77777777" w:rsidR="00166E58" w:rsidRDefault="00166E58" w:rsidP="00166E58"/>
    <w:p w14:paraId="1CFC011F"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58"/>
    <w:rsid w:val="0014369C"/>
    <w:rsid w:val="00166E58"/>
    <w:rsid w:val="001B0F85"/>
    <w:rsid w:val="00381D98"/>
    <w:rsid w:val="00421F80"/>
    <w:rsid w:val="004F76A9"/>
    <w:rsid w:val="00607344"/>
    <w:rsid w:val="00653EE0"/>
    <w:rsid w:val="006716F9"/>
    <w:rsid w:val="00CD0471"/>
    <w:rsid w:val="00E107D5"/>
    <w:rsid w:val="00EE6B8D"/>
    <w:rsid w:val="3C0CD9F4"/>
    <w:rsid w:val="47B07E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18032"/>
  <w15:chartTrackingRefBased/>
  <w15:docId w15:val="{029522B1-E301-4D5F-8F72-E2C58845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166E58"/>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166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6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6E5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6E5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6E5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6E5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6E5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6E5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6E5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6E5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6E5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6E5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6E5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6E5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6E5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6E5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6E5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6E58"/>
    <w:rPr>
      <w:rFonts w:eastAsiaTheme="majorEastAsia" w:cstheme="majorBidi"/>
      <w:color w:val="272727" w:themeColor="text1" w:themeTint="D8"/>
    </w:rPr>
  </w:style>
  <w:style w:type="paragraph" w:styleId="Ttulo">
    <w:name w:val="Title"/>
    <w:basedOn w:val="Normal"/>
    <w:next w:val="Normal"/>
    <w:link w:val="TtuloCar"/>
    <w:uiPriority w:val="10"/>
    <w:qFormat/>
    <w:rsid w:val="00166E5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6E5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6E5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6E5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6E58"/>
    <w:pPr>
      <w:spacing w:before="160"/>
      <w:jc w:val="center"/>
    </w:pPr>
    <w:rPr>
      <w:i/>
      <w:iCs/>
      <w:color w:val="404040" w:themeColor="text1" w:themeTint="BF"/>
    </w:rPr>
  </w:style>
  <w:style w:type="character" w:customStyle="1" w:styleId="CitaCar">
    <w:name w:val="Cita Car"/>
    <w:basedOn w:val="Fuentedeprrafopredeter"/>
    <w:link w:val="Cita"/>
    <w:uiPriority w:val="29"/>
    <w:rsid w:val="00166E58"/>
    <w:rPr>
      <w:i/>
      <w:iCs/>
      <w:color w:val="404040" w:themeColor="text1" w:themeTint="BF"/>
    </w:rPr>
  </w:style>
  <w:style w:type="paragraph" w:styleId="Prrafodelista">
    <w:name w:val="List Paragraph"/>
    <w:basedOn w:val="Normal"/>
    <w:uiPriority w:val="34"/>
    <w:qFormat/>
    <w:rsid w:val="00166E58"/>
    <w:pPr>
      <w:ind w:left="720"/>
      <w:contextualSpacing/>
    </w:pPr>
  </w:style>
  <w:style w:type="character" w:styleId="nfasisintenso">
    <w:name w:val="Intense Emphasis"/>
    <w:basedOn w:val="Fuentedeprrafopredeter"/>
    <w:uiPriority w:val="21"/>
    <w:qFormat/>
    <w:rsid w:val="00166E58"/>
    <w:rPr>
      <w:i/>
      <w:iCs/>
      <w:color w:val="0F4761" w:themeColor="accent1" w:themeShade="BF"/>
    </w:rPr>
  </w:style>
  <w:style w:type="paragraph" w:styleId="Citadestacada">
    <w:name w:val="Intense Quote"/>
    <w:basedOn w:val="Normal"/>
    <w:next w:val="Normal"/>
    <w:link w:val="CitadestacadaCar"/>
    <w:uiPriority w:val="30"/>
    <w:qFormat/>
    <w:rsid w:val="00166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6E58"/>
    <w:rPr>
      <w:i/>
      <w:iCs/>
      <w:color w:val="0F4761" w:themeColor="accent1" w:themeShade="BF"/>
    </w:rPr>
  </w:style>
  <w:style w:type="character" w:styleId="Referenciaintensa">
    <w:name w:val="Intense Reference"/>
    <w:basedOn w:val="Fuentedeprrafopredeter"/>
    <w:uiPriority w:val="32"/>
    <w:qFormat/>
    <w:rsid w:val="00166E58"/>
    <w:rPr>
      <w:b/>
      <w:bCs/>
      <w:smallCaps/>
      <w:color w:val="0F4761" w:themeColor="accent1" w:themeShade="BF"/>
      <w:spacing w:val="5"/>
    </w:rPr>
  </w:style>
  <w:style w:type="character" w:customStyle="1" w:styleId="contentpasted0">
    <w:name w:val="contentpasted0"/>
    <w:basedOn w:val="Fuentedeprrafopredeter"/>
    <w:rsid w:val="00166E58"/>
  </w:style>
  <w:style w:type="paragraph" w:customStyle="1" w:styleId="xmsonormal">
    <w:name w:val="x_msonormal"/>
    <w:basedOn w:val="Normal"/>
    <w:uiPriority w:val="99"/>
    <w:rsid w:val="00166E58"/>
    <w:rPr>
      <w:lang w:eastAsia="es-ES"/>
      <w14:ligatures w14:val="none"/>
    </w:rPr>
  </w:style>
  <w:style w:type="paragraph" w:customStyle="1" w:styleId="paragraph">
    <w:name w:val="paragraph"/>
    <w:basedOn w:val="Normal"/>
    <w:rsid w:val="00166E58"/>
    <w:pPr>
      <w:spacing w:before="100" w:beforeAutospacing="1" w:after="100" w:afterAutospacing="1"/>
    </w:pPr>
    <w:rPr>
      <w:rFonts w:ascii="Times New Roman" w:hAnsi="Times New Roman" w:cs="Times New Roman"/>
      <w:sz w:val="24"/>
      <w:szCs w:val="24"/>
      <w:lang w:eastAsia="es-ES"/>
      <w14:ligatures w14:val="none"/>
    </w:rPr>
  </w:style>
  <w:style w:type="paragraph" w:styleId="NormalWeb">
    <w:name w:val="Normal (Web)"/>
    <w:basedOn w:val="Normal"/>
    <w:uiPriority w:val="99"/>
    <w:semiHidden/>
    <w:unhideWhenUsed/>
    <w:rsid w:val="00E107D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659</Words>
  <Characters>3628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2</cp:revision>
  <dcterms:created xsi:type="dcterms:W3CDTF">2025-12-17T10:57:00Z</dcterms:created>
  <dcterms:modified xsi:type="dcterms:W3CDTF">2025-12-17T14:36:00Z</dcterms:modified>
</cp:coreProperties>
</file>