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B9B19" w14:textId="77777777" w:rsidR="0058759A" w:rsidRDefault="0058759A" w:rsidP="0058759A">
      <w:pPr>
        <w:spacing w:after="160"/>
        <w:jc w:val="center"/>
        <w:rPr>
          <w:rFonts w:ascii="Times New Roman" w:hAnsi="Times New Roman" w:cs="Times New Roman"/>
          <w:color w:val="000000"/>
          <w:sz w:val="24"/>
          <w:szCs w:val="24"/>
        </w:rPr>
      </w:pPr>
      <w:r>
        <w:rPr>
          <w:rStyle w:val="contentpasted0"/>
          <w:rFonts w:ascii="Muli" w:hAnsi="Muli"/>
          <w:b/>
          <w:bCs/>
          <w:color w:val="000000"/>
          <w:sz w:val="24"/>
          <w:szCs w:val="24"/>
        </w:rPr>
        <w:t>Análisis de la decisión del BCE, por Laura Martínez </w:t>
      </w:r>
    </w:p>
    <w:p w14:paraId="11C9B26D" w14:textId="2B0690FF" w:rsidR="0058759A" w:rsidRPr="005C61A7" w:rsidRDefault="005C61A7" w:rsidP="0058759A">
      <w:pPr>
        <w:pStyle w:val="xmsonormal"/>
        <w:spacing w:after="160"/>
        <w:jc w:val="center"/>
        <w:rPr>
          <w:rFonts w:ascii="Montserrat" w:hAnsi="Montserrat"/>
          <w:b/>
          <w:bCs/>
          <w:color w:val="243962"/>
          <w:sz w:val="32"/>
          <w:szCs w:val="32"/>
        </w:rPr>
      </w:pPr>
      <w:r w:rsidRPr="005C61A7">
        <w:rPr>
          <w:rFonts w:ascii="Montserrat" w:hAnsi="Montserrat"/>
          <w:b/>
          <w:bCs/>
          <w:color w:val="243962"/>
          <w:sz w:val="32"/>
          <w:szCs w:val="32"/>
        </w:rPr>
        <w:t>El BCE arranca sin sorpresas el 2026: mantendrá los tipos congelados en el 2% y consolidará la estabilidad hipotecaria</w:t>
      </w:r>
    </w:p>
    <w:p w14:paraId="01CEB6C0" w14:textId="77777777" w:rsidR="0058759A" w:rsidRDefault="0058759A" w:rsidP="0058759A">
      <w:pPr>
        <w:rPr>
          <w:rFonts w:ascii="Muli" w:hAnsi="Muli"/>
          <w:sz w:val="24"/>
          <w:szCs w:val="24"/>
        </w:rPr>
      </w:pPr>
    </w:p>
    <w:p w14:paraId="72458B3C" w14:textId="79DDB64C" w:rsidR="0058759A" w:rsidRPr="00AC043F" w:rsidRDefault="0058759A" w:rsidP="0058759A">
      <w:pPr>
        <w:rPr>
          <w:rFonts w:ascii="Muli" w:hAnsi="Muli"/>
          <w:sz w:val="24"/>
          <w:szCs w:val="24"/>
        </w:rPr>
      </w:pPr>
      <w:r w:rsidRPr="200BADFB">
        <w:rPr>
          <w:rFonts w:ascii="Muli" w:hAnsi="Muli"/>
          <w:sz w:val="24"/>
          <w:szCs w:val="24"/>
        </w:rPr>
        <w:t xml:space="preserve">Madrid, </w:t>
      </w:r>
      <w:r>
        <w:rPr>
          <w:rFonts w:ascii="Muli" w:hAnsi="Muli"/>
          <w:sz w:val="24"/>
          <w:szCs w:val="24"/>
        </w:rPr>
        <w:t xml:space="preserve">4 de febrero de </w:t>
      </w:r>
      <w:r w:rsidRPr="200BADFB">
        <w:rPr>
          <w:rFonts w:ascii="Muli" w:hAnsi="Muli"/>
          <w:sz w:val="24"/>
          <w:szCs w:val="24"/>
        </w:rPr>
        <w:t>2025</w:t>
      </w:r>
    </w:p>
    <w:p w14:paraId="1D6653FC" w14:textId="1A2B3DE2" w:rsidR="0058759A" w:rsidRDefault="0058759A" w:rsidP="0058759A">
      <w:pPr>
        <w:pStyle w:val="paragraph"/>
        <w:spacing w:before="240"/>
        <w:textAlignment w:val="baseline"/>
        <w:rPr>
          <w:rFonts w:ascii="Muli" w:hAnsi="Muli"/>
        </w:rPr>
      </w:pPr>
      <w:r w:rsidRPr="0058759A">
        <w:rPr>
          <w:rFonts w:ascii="Muli" w:hAnsi="Muli"/>
        </w:rPr>
        <w:t xml:space="preserve">“El Banco Central Europeo (BCE) celebra mañana, 5 de febrero, su primera reunión del año, una cita que servirá a </w:t>
      </w:r>
      <w:r>
        <w:rPr>
          <w:rFonts w:ascii="Muli" w:hAnsi="Muli"/>
        </w:rPr>
        <w:t xml:space="preserve">su presidenta, </w:t>
      </w:r>
      <w:r w:rsidRPr="0058759A">
        <w:rPr>
          <w:rFonts w:ascii="Muli" w:hAnsi="Muli"/>
        </w:rPr>
        <w:t>Christine Lagarde</w:t>
      </w:r>
      <w:r>
        <w:rPr>
          <w:rFonts w:ascii="Muli" w:hAnsi="Muli"/>
        </w:rPr>
        <w:t>,</w:t>
      </w:r>
      <w:r w:rsidRPr="0058759A">
        <w:rPr>
          <w:rFonts w:ascii="Muli" w:hAnsi="Muli"/>
        </w:rPr>
        <w:t xml:space="preserve"> </w:t>
      </w:r>
      <w:r w:rsidR="005C61A7">
        <w:rPr>
          <w:rFonts w:ascii="Muli" w:hAnsi="Muli"/>
        </w:rPr>
        <w:t xml:space="preserve">y a todo su equipo </w:t>
      </w:r>
      <w:r w:rsidRPr="0058759A">
        <w:rPr>
          <w:rFonts w:ascii="Muli" w:hAnsi="Muli"/>
        </w:rPr>
        <w:t>para marcar el tono de la política monetaria que se aplicará durante este 2026</w:t>
      </w:r>
      <w:r w:rsidR="005C61A7">
        <w:rPr>
          <w:rFonts w:ascii="Muli" w:hAnsi="Muli"/>
        </w:rPr>
        <w:t>.</w:t>
      </w:r>
      <w:r w:rsidRPr="0058759A">
        <w:rPr>
          <w:rFonts w:ascii="Muli" w:hAnsi="Muli"/>
        </w:rPr>
        <w:t xml:space="preserve"> </w:t>
      </w:r>
      <w:r w:rsidR="005C61A7">
        <w:rPr>
          <w:rFonts w:ascii="Muli" w:hAnsi="Muli"/>
        </w:rPr>
        <w:t>Y</w:t>
      </w:r>
      <w:r w:rsidRPr="0058759A">
        <w:rPr>
          <w:rFonts w:ascii="Muli" w:hAnsi="Muli"/>
        </w:rPr>
        <w:t>, si atendemos al contexto económico actual, tod</w:t>
      </w:r>
      <w:r>
        <w:rPr>
          <w:rFonts w:ascii="Muli" w:hAnsi="Muli"/>
        </w:rPr>
        <w:t>o</w:t>
      </w:r>
      <w:r w:rsidRPr="0058759A">
        <w:rPr>
          <w:rFonts w:ascii="Muli" w:hAnsi="Muli"/>
        </w:rPr>
        <w:t xml:space="preserve"> apunta a que será un arranque continuista: la previsión es que el organismo </w:t>
      </w:r>
      <w:r>
        <w:rPr>
          <w:rFonts w:ascii="Muli" w:hAnsi="Muli"/>
        </w:rPr>
        <w:t xml:space="preserve">europeo </w:t>
      </w:r>
      <w:r w:rsidRPr="0058759A">
        <w:rPr>
          <w:rFonts w:ascii="Muli" w:hAnsi="Muli"/>
        </w:rPr>
        <w:t>mantenga los tipos de interés oficiales en el 2%, el mismo nivel en el que se encuentran desde junio de 2025</w:t>
      </w:r>
      <w:r w:rsidR="005C61A7">
        <w:rPr>
          <w:rFonts w:ascii="Muli" w:hAnsi="Muli"/>
        </w:rPr>
        <w:t>.</w:t>
      </w:r>
    </w:p>
    <w:p w14:paraId="79899578" w14:textId="649E1587" w:rsidR="0058759A" w:rsidRPr="0058759A" w:rsidRDefault="0058759A" w:rsidP="0058759A">
      <w:pPr>
        <w:pStyle w:val="paragraph"/>
        <w:spacing w:before="240"/>
        <w:textAlignment w:val="baseline"/>
        <w:rPr>
          <w:rFonts w:ascii="Muli" w:hAnsi="Muli"/>
        </w:rPr>
      </w:pPr>
      <w:r w:rsidRPr="0058759A">
        <w:rPr>
          <w:rFonts w:ascii="Muli" w:hAnsi="Muli"/>
        </w:rPr>
        <w:t>Después de varios meses con el precio del dinero congelado, el BCE no tiene demasiados motivos para mover ficha ahora. La inflación está mucho más controlada que hace un par de años y se acerca al objetivo</w:t>
      </w:r>
      <w:r>
        <w:rPr>
          <w:rFonts w:ascii="Muli" w:hAnsi="Muli"/>
        </w:rPr>
        <w:t xml:space="preserve"> marcado</w:t>
      </w:r>
      <w:r w:rsidRPr="0058759A">
        <w:rPr>
          <w:rFonts w:ascii="Muli" w:hAnsi="Muli"/>
        </w:rPr>
        <w:t xml:space="preserve"> del 2%, mientras que la economía europea </w:t>
      </w:r>
      <w:r>
        <w:rPr>
          <w:rFonts w:ascii="Muli" w:hAnsi="Muli"/>
        </w:rPr>
        <w:t>sigue creciendo</w:t>
      </w:r>
      <w:r w:rsidRPr="0058759A">
        <w:rPr>
          <w:rFonts w:ascii="Muli" w:hAnsi="Muli"/>
        </w:rPr>
        <w:t xml:space="preserve">, </w:t>
      </w:r>
      <w:r>
        <w:rPr>
          <w:rFonts w:ascii="Muli" w:hAnsi="Muli"/>
        </w:rPr>
        <w:t>aunque sea</w:t>
      </w:r>
      <w:r w:rsidRPr="0058759A">
        <w:rPr>
          <w:rFonts w:ascii="Muli" w:hAnsi="Muli"/>
        </w:rPr>
        <w:t xml:space="preserve"> a un ritmo moderado. Con este equilibrio, tocar los tipos </w:t>
      </w:r>
      <w:r>
        <w:rPr>
          <w:rFonts w:ascii="Muli" w:hAnsi="Muli"/>
        </w:rPr>
        <w:t xml:space="preserve">de interés </w:t>
      </w:r>
      <w:r w:rsidRPr="0058759A">
        <w:rPr>
          <w:rFonts w:ascii="Muli" w:hAnsi="Muli"/>
        </w:rPr>
        <w:t>podría generar más riesgos que beneficios: subirlos enfriaría aún más la actividad y bajarlos demasiado pronto podría reavivar las tensiones en los precios.</w:t>
      </w:r>
    </w:p>
    <w:p w14:paraId="3DA827CC" w14:textId="77777777" w:rsidR="0058759A" w:rsidRDefault="0058759A" w:rsidP="0058759A">
      <w:pPr>
        <w:pStyle w:val="paragraph"/>
        <w:spacing w:before="240"/>
        <w:textAlignment w:val="baseline"/>
        <w:rPr>
          <w:rFonts w:ascii="Muli" w:hAnsi="Muli"/>
        </w:rPr>
      </w:pPr>
      <w:r w:rsidRPr="0058759A">
        <w:rPr>
          <w:rFonts w:ascii="Muli" w:hAnsi="Muli"/>
        </w:rPr>
        <w:t xml:space="preserve">Por eso, más que la decisión concreta, lo importante volverá a ser el mensaje. Lo previsible es que </w:t>
      </w:r>
      <w:r>
        <w:rPr>
          <w:rFonts w:ascii="Muli" w:hAnsi="Muli"/>
        </w:rPr>
        <w:t xml:space="preserve">Lagarde </w:t>
      </w:r>
      <w:r w:rsidRPr="0058759A">
        <w:rPr>
          <w:rFonts w:ascii="Muli" w:hAnsi="Muli"/>
        </w:rPr>
        <w:t>insista en la prudencia y en su estrategia de ir reunión a reunión, sin comprometerse con fechas cerradas. Es decir, observar primero los datos antes de plantear cualquier cambio.</w:t>
      </w:r>
      <w:r>
        <w:rPr>
          <w:rFonts w:ascii="Muli" w:hAnsi="Muli"/>
        </w:rPr>
        <w:t xml:space="preserve"> </w:t>
      </w:r>
    </w:p>
    <w:p w14:paraId="3B451DF5" w14:textId="2FEAFB0E" w:rsidR="0058759A" w:rsidRPr="0058759A" w:rsidRDefault="0058759A" w:rsidP="0058759A">
      <w:pPr>
        <w:pStyle w:val="paragraph"/>
        <w:spacing w:before="240"/>
        <w:textAlignment w:val="baseline"/>
        <w:rPr>
          <w:rFonts w:ascii="Muli" w:hAnsi="Muli"/>
        </w:rPr>
      </w:pPr>
      <w:r w:rsidRPr="0058759A">
        <w:rPr>
          <w:rFonts w:ascii="Muli" w:hAnsi="Muli"/>
        </w:rPr>
        <w:t xml:space="preserve">¿Y cómo afecta todo esto a las hipotecas? Principalmente, aporta estabilidad. Cuando los tipos </w:t>
      </w:r>
      <w:r>
        <w:rPr>
          <w:rFonts w:ascii="Muli" w:hAnsi="Muli"/>
        </w:rPr>
        <w:t xml:space="preserve">de interés </w:t>
      </w:r>
      <w:r w:rsidRPr="0058759A">
        <w:rPr>
          <w:rFonts w:ascii="Muli" w:hAnsi="Muli"/>
        </w:rPr>
        <w:t>oficiales se mantienen sin cambios durante tanto tiempo, el mercado también se calma</w:t>
      </w:r>
      <w:r>
        <w:rPr>
          <w:rFonts w:ascii="Muli" w:hAnsi="Muli"/>
        </w:rPr>
        <w:t>, se estabiliza</w:t>
      </w:r>
      <w:r w:rsidRPr="0058759A">
        <w:rPr>
          <w:rFonts w:ascii="Muli" w:hAnsi="Muli"/>
        </w:rPr>
        <w:t xml:space="preserve">. </w:t>
      </w:r>
      <w:r>
        <w:rPr>
          <w:rFonts w:ascii="Muli" w:hAnsi="Muli"/>
        </w:rPr>
        <w:t xml:space="preserve">Esto lo estamos viendo representado igualmente </w:t>
      </w:r>
      <w:r w:rsidR="005C61A7">
        <w:rPr>
          <w:rFonts w:ascii="Muli" w:hAnsi="Muli"/>
        </w:rPr>
        <w:t xml:space="preserve">los valores medios registrados por </w:t>
      </w:r>
      <w:r>
        <w:rPr>
          <w:rFonts w:ascii="Muli" w:hAnsi="Muli"/>
        </w:rPr>
        <w:t>el</w:t>
      </w:r>
      <w:r w:rsidRPr="0058759A">
        <w:rPr>
          <w:rFonts w:ascii="Muli" w:hAnsi="Muli"/>
        </w:rPr>
        <w:t xml:space="preserve"> euríbor, que es </w:t>
      </w:r>
      <w:r>
        <w:rPr>
          <w:rFonts w:ascii="Muli" w:hAnsi="Muli"/>
        </w:rPr>
        <w:t>el índice de</w:t>
      </w:r>
      <w:r w:rsidRPr="0058759A">
        <w:rPr>
          <w:rFonts w:ascii="Muli" w:hAnsi="Muli"/>
        </w:rPr>
        <w:t xml:space="preserve"> referencia de la mayoría de </w:t>
      </w:r>
      <w:r w:rsidR="005C61A7" w:rsidRPr="0058759A">
        <w:rPr>
          <w:rFonts w:ascii="Muli" w:hAnsi="Muli"/>
        </w:rPr>
        <w:t>las hipotecas</w:t>
      </w:r>
      <w:r w:rsidRPr="0058759A">
        <w:rPr>
          <w:rFonts w:ascii="Muli" w:hAnsi="Muli"/>
        </w:rPr>
        <w:t xml:space="preserve"> variables</w:t>
      </w:r>
      <w:r>
        <w:rPr>
          <w:rFonts w:ascii="Muli" w:hAnsi="Muli"/>
        </w:rPr>
        <w:t xml:space="preserve"> firmadas tanto en España como en Europa.</w:t>
      </w:r>
      <w:r w:rsidR="005C61A7">
        <w:rPr>
          <w:rFonts w:ascii="Muli" w:hAnsi="Muli"/>
        </w:rPr>
        <w:t xml:space="preserve"> Este indicador se mantiene un poco por encima del 2% desde hace meses y</w:t>
      </w:r>
      <w:r>
        <w:rPr>
          <w:rFonts w:ascii="Muli" w:hAnsi="Muli"/>
        </w:rPr>
        <w:t xml:space="preserve"> </w:t>
      </w:r>
      <w:r w:rsidRPr="0058759A">
        <w:rPr>
          <w:rFonts w:ascii="Muli" w:hAnsi="Muli"/>
        </w:rPr>
        <w:t>debería moverse en niveles similares a los actuales</w:t>
      </w:r>
      <w:r w:rsidR="005C61A7">
        <w:rPr>
          <w:rFonts w:ascii="Muli" w:hAnsi="Muli"/>
        </w:rPr>
        <w:t xml:space="preserve"> un tiempo más</w:t>
      </w:r>
      <w:r w:rsidRPr="0058759A">
        <w:rPr>
          <w:rFonts w:ascii="Muli" w:hAnsi="Muli"/>
        </w:rPr>
        <w:t>, evitando subidas bruscas en las cuotas de quienes revisen su préstamo en los próximos meses.</w:t>
      </w:r>
    </w:p>
    <w:p w14:paraId="659B0396" w14:textId="1F1FA208" w:rsidR="0058759A" w:rsidRPr="0058759A" w:rsidRDefault="0058759A" w:rsidP="0058759A">
      <w:pPr>
        <w:pStyle w:val="paragraph"/>
        <w:spacing w:before="240"/>
        <w:textAlignment w:val="baseline"/>
        <w:rPr>
          <w:rFonts w:ascii="Muli" w:hAnsi="Muli"/>
        </w:rPr>
      </w:pPr>
      <w:r w:rsidRPr="0058759A">
        <w:rPr>
          <w:rFonts w:ascii="Muli" w:hAnsi="Muli"/>
        </w:rPr>
        <w:t xml:space="preserve">Al mismo tiempo, este entorno más previsible suele animar a los bancos a competir entre ellos, ajustando precios y lanzando mejores ofertas, sobre todo en hipotecas fijas y mixtas. </w:t>
      </w:r>
      <w:r w:rsidR="005C61A7">
        <w:rPr>
          <w:rFonts w:ascii="Muli" w:hAnsi="Muli"/>
        </w:rPr>
        <w:t>Es cierto que, sobre todo durante la segunda parte de 2025, hemos visto ofertas muy competitivas y que ahora las entidades valoran más a fondo el perfil del cliente para ofrecer una oferta muy buena o algo menos buena. No obstante, p</w:t>
      </w:r>
      <w:r w:rsidRPr="0058759A">
        <w:rPr>
          <w:rFonts w:ascii="Muli" w:hAnsi="Muli"/>
        </w:rPr>
        <w:t xml:space="preserve">ara quienes estén pensando </w:t>
      </w:r>
      <w:r w:rsidRPr="0058759A">
        <w:rPr>
          <w:rFonts w:ascii="Muli" w:hAnsi="Muli"/>
        </w:rPr>
        <w:lastRenderedPageBreak/>
        <w:t xml:space="preserve">en comprar vivienda o cambiar de préstamo, </w:t>
      </w:r>
      <w:r w:rsidR="005C61A7">
        <w:rPr>
          <w:rFonts w:ascii="Muli" w:hAnsi="Muli"/>
        </w:rPr>
        <w:t>sigue siendo</w:t>
      </w:r>
      <w:r w:rsidRPr="0058759A">
        <w:rPr>
          <w:rFonts w:ascii="Muli" w:hAnsi="Muli"/>
        </w:rPr>
        <w:t xml:space="preserve"> un momento interesante para comparar </w:t>
      </w:r>
      <w:r w:rsidR="005C61A7">
        <w:rPr>
          <w:rFonts w:ascii="Muli" w:hAnsi="Muli"/>
        </w:rPr>
        <w:t>entre todas las o</w:t>
      </w:r>
      <w:r w:rsidRPr="0058759A">
        <w:rPr>
          <w:rFonts w:ascii="Muli" w:hAnsi="Muli"/>
        </w:rPr>
        <w:t>pciones</w:t>
      </w:r>
      <w:r w:rsidR="005C61A7">
        <w:rPr>
          <w:rFonts w:ascii="Muli" w:hAnsi="Muli"/>
        </w:rPr>
        <w:t xml:space="preserve"> posibles.</w:t>
      </w:r>
    </w:p>
    <w:p w14:paraId="066548B9" w14:textId="77777777" w:rsidR="005C61A7" w:rsidRDefault="0058759A" w:rsidP="005C61A7">
      <w:pPr>
        <w:pStyle w:val="paragraph"/>
        <w:spacing w:before="240"/>
        <w:textAlignment w:val="baseline"/>
        <w:rPr>
          <w:rFonts w:ascii="Muli" w:hAnsi="Muli"/>
        </w:rPr>
      </w:pPr>
      <w:r w:rsidRPr="0058759A">
        <w:rPr>
          <w:rFonts w:ascii="Muli" w:hAnsi="Muli"/>
        </w:rPr>
        <w:t>En definitiva, todo apunta a que el BCE empezará el año sin sobresaltos, manteniendo los tipos en el 2% y prolongando la pausa iniciada en junio de 2025. Para las familias, eso se traduce en algo muy necesario después de años de cambios constantes: más tranquilidad y mayor capacidad para planificar sus finanzas</w:t>
      </w:r>
      <w:r w:rsidR="005C61A7">
        <w:rPr>
          <w:rFonts w:ascii="Muli" w:hAnsi="Muli"/>
        </w:rPr>
        <w:t>. Aunque, eso sí, ya no verán sus cuotas mensuales disminuir tanto con lo hicieron en años anteriores”.</w:t>
      </w:r>
    </w:p>
    <w:p w14:paraId="2347F5A8" w14:textId="2FFA4C99" w:rsidR="0058759A" w:rsidRPr="005C61A7" w:rsidRDefault="0058759A" w:rsidP="005C61A7">
      <w:pPr>
        <w:pStyle w:val="paragraph"/>
        <w:spacing w:before="240"/>
        <w:textAlignment w:val="baseline"/>
        <w:rPr>
          <w:rStyle w:val="contentpasted0"/>
          <w:rFonts w:ascii="Muli" w:hAnsi="Muli"/>
        </w:rPr>
      </w:pPr>
      <w:r>
        <w:rPr>
          <w:rStyle w:val="contentpasted0"/>
          <w:rFonts w:ascii="Muli" w:hAnsi="Muli"/>
          <w:color w:val="000000"/>
          <w:u w:val="single"/>
        </w:rPr>
        <w:t>Laura Martínez, portavoz de iAhorro.</w:t>
      </w:r>
    </w:p>
    <w:p w14:paraId="1AA7F67D" w14:textId="77777777" w:rsidR="0058759A" w:rsidRPr="000B5564" w:rsidRDefault="0058759A" w:rsidP="0058759A">
      <w:pPr>
        <w:rPr>
          <w:rStyle w:val="contentpasted0"/>
          <w:rFonts w:ascii="Muli" w:hAnsi="Muli"/>
          <w:color w:val="000000"/>
          <w:sz w:val="24"/>
          <w:szCs w:val="24"/>
          <w:u w:val="single"/>
        </w:rPr>
      </w:pPr>
    </w:p>
    <w:p w14:paraId="38A7E5B0" w14:textId="77777777" w:rsidR="0058759A" w:rsidRDefault="0058759A" w:rsidP="0058759A">
      <w:pPr>
        <w:rPr>
          <w:rStyle w:val="contentpasted0"/>
          <w:rFonts w:ascii="Muli" w:hAnsi="Muli"/>
          <w:i/>
          <w:iCs/>
          <w:color w:val="000000"/>
          <w:u w:val="single"/>
        </w:rPr>
      </w:pPr>
    </w:p>
    <w:p w14:paraId="1C236755" w14:textId="77777777" w:rsidR="0058759A" w:rsidRDefault="0058759A" w:rsidP="0058759A">
      <w:pPr>
        <w:rPr>
          <w:rStyle w:val="contentpasted0"/>
          <w:rFonts w:ascii="Muli" w:hAnsi="Muli"/>
          <w:i/>
          <w:iCs/>
          <w:color w:val="000000"/>
          <w:u w:val="single"/>
        </w:rPr>
      </w:pPr>
    </w:p>
    <w:p w14:paraId="39AD7D0E" w14:textId="77777777" w:rsidR="0058759A" w:rsidRDefault="0058759A" w:rsidP="0058759A">
      <w:pPr>
        <w:spacing w:after="160"/>
        <w:rPr>
          <w:rStyle w:val="contentpasted0"/>
          <w:rFonts w:ascii="Muli" w:hAnsi="Muli"/>
          <w:color w:val="000000"/>
          <w:sz w:val="24"/>
          <w:szCs w:val="24"/>
          <w:lang w:val="es-ES_tradnl"/>
        </w:rPr>
      </w:pPr>
      <w:r>
        <w:rPr>
          <w:rStyle w:val="contentpasted0"/>
          <w:rFonts w:ascii="Muli" w:hAnsi="Muli"/>
          <w:b/>
          <w:bCs/>
          <w:color w:val="243962"/>
          <w:sz w:val="24"/>
          <w:szCs w:val="24"/>
          <w:lang w:val="es-ES_tradnl"/>
        </w:rPr>
        <w:t xml:space="preserve">Si necesita más información o declaraciones en formato audiovisual: </w:t>
      </w:r>
      <w:r>
        <w:rPr>
          <w:rStyle w:val="contentpasted0"/>
          <w:rFonts w:ascii="Muli" w:hAnsi="Muli"/>
          <w:color w:val="000000"/>
          <w:sz w:val="24"/>
          <w:szCs w:val="24"/>
          <w:lang w:val="es-ES_tradn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2016"/>
        <w:gridCol w:w="2547"/>
        <w:gridCol w:w="2529"/>
      </w:tblGrid>
      <w:tr w:rsidR="0058759A" w:rsidRPr="00AF342D" w14:paraId="0D615DCC" w14:textId="77777777" w:rsidTr="00C93F22">
        <w:trPr>
          <w:trHeight w:val="132"/>
        </w:trPr>
        <w:tc>
          <w:tcPr>
            <w:tcW w:w="1980" w:type="dxa"/>
            <w:tcMar>
              <w:top w:w="0" w:type="dxa"/>
              <w:left w:w="108" w:type="dxa"/>
              <w:bottom w:w="0" w:type="dxa"/>
              <w:right w:w="108" w:type="dxa"/>
            </w:tcMar>
            <w:vAlign w:val="center"/>
            <w:hideMark/>
          </w:tcPr>
          <w:p w14:paraId="4FA35601" w14:textId="77777777" w:rsidR="0058759A" w:rsidRDefault="0058759A" w:rsidP="00C93F22">
            <w:pPr>
              <w:pStyle w:val="Piedepgina"/>
              <w:spacing w:line="252" w:lineRule="auto"/>
              <w:rPr>
                <w:rFonts w:ascii="Aptos" w:hAnsi="Aptos" w:cs="Aptos"/>
                <w:b/>
                <w:bCs/>
                <w:sz w:val="18"/>
                <w:szCs w:val="18"/>
              </w:rPr>
            </w:pPr>
            <w:r>
              <w:rPr>
                <w:noProof/>
              </w:rPr>
              <w:drawing>
                <wp:inline distT="0" distB="0" distL="0" distR="0" wp14:anchorId="6B580C56" wp14:editId="2BDE260C">
                  <wp:extent cx="1143000" cy="565999"/>
                  <wp:effectExtent l="0" t="0" r="0" b="0"/>
                  <wp:docPr id="1332602733"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4">
                            <a:extLst>
                              <a:ext uri="{28A0092B-C50C-407E-A947-70E740481C1C}">
                                <a14:useLocalDpi xmlns:a14="http://schemas.microsoft.com/office/drawing/2010/main" val="0"/>
                              </a:ext>
                            </a:extLst>
                          </a:blip>
                          <a:stretch>
                            <a:fillRect/>
                          </a:stretch>
                        </pic:blipFill>
                        <pic:spPr>
                          <a:xfrm>
                            <a:off x="0" y="0"/>
                            <a:ext cx="1148384" cy="568665"/>
                          </a:xfrm>
                          <a:prstGeom prst="rect">
                            <a:avLst/>
                          </a:prstGeom>
                        </pic:spPr>
                      </pic:pic>
                    </a:graphicData>
                  </a:graphic>
                </wp:inline>
              </w:drawing>
            </w:r>
          </w:p>
        </w:tc>
        <w:tc>
          <w:tcPr>
            <w:tcW w:w="2556" w:type="dxa"/>
            <w:tcMar>
              <w:top w:w="0" w:type="dxa"/>
              <w:left w:w="108" w:type="dxa"/>
              <w:bottom w:w="0" w:type="dxa"/>
              <w:right w:w="108" w:type="dxa"/>
            </w:tcMar>
            <w:vAlign w:val="center"/>
          </w:tcPr>
          <w:p w14:paraId="48274EFC" w14:textId="77777777" w:rsidR="0058759A" w:rsidRDefault="0058759A" w:rsidP="00C93F22">
            <w:pPr>
              <w:pStyle w:val="Piedepgina"/>
              <w:spacing w:line="252" w:lineRule="auto"/>
              <w:jc w:val="center"/>
              <w:rPr>
                <w:b/>
                <w:bCs/>
                <w:sz w:val="18"/>
                <w:szCs w:val="18"/>
              </w:rPr>
            </w:pPr>
          </w:p>
          <w:p w14:paraId="270E0598" w14:textId="77777777" w:rsidR="0058759A" w:rsidRDefault="0058759A" w:rsidP="00C93F22">
            <w:pPr>
              <w:pStyle w:val="Piedepgina"/>
              <w:spacing w:line="252" w:lineRule="auto"/>
              <w:jc w:val="center"/>
              <w:rPr>
                <w:b/>
                <w:bCs/>
                <w:sz w:val="18"/>
                <w:szCs w:val="18"/>
              </w:rPr>
            </w:pPr>
          </w:p>
          <w:p w14:paraId="5FF96F35" w14:textId="77777777" w:rsidR="0058759A" w:rsidRDefault="0058759A" w:rsidP="00C93F22">
            <w:pPr>
              <w:pStyle w:val="Piedepgina"/>
              <w:spacing w:line="252" w:lineRule="auto"/>
              <w:jc w:val="center"/>
              <w:rPr>
                <w:sz w:val="18"/>
                <w:szCs w:val="18"/>
              </w:rPr>
            </w:pPr>
            <w:r>
              <w:rPr>
                <w:b/>
                <w:bCs/>
                <w:sz w:val="18"/>
                <w:szCs w:val="18"/>
              </w:rPr>
              <w:t>Laura Martínez</w:t>
            </w:r>
            <w:r>
              <w:rPr>
                <w:sz w:val="18"/>
                <w:szCs w:val="18"/>
              </w:rPr>
              <w:t xml:space="preserve"> – 686 688 757</w:t>
            </w:r>
            <w:r>
              <w:rPr>
                <w:sz w:val="18"/>
                <w:szCs w:val="18"/>
              </w:rPr>
              <w:br/>
            </w:r>
            <w:hyperlink r:id="rId5" w:history="1">
              <w:r w:rsidRPr="009D144E">
                <w:rPr>
                  <w:rStyle w:val="Hipervnculo"/>
                  <w:sz w:val="18"/>
                  <w:szCs w:val="18"/>
                </w:rPr>
                <w:t>laura.martinez@iahorro.com</w:t>
              </w:r>
            </w:hyperlink>
          </w:p>
          <w:p w14:paraId="7F2C4008" w14:textId="77777777" w:rsidR="0058759A" w:rsidRDefault="0058759A" w:rsidP="00C93F22">
            <w:pPr>
              <w:pStyle w:val="Piedepgina"/>
              <w:spacing w:line="252" w:lineRule="auto"/>
              <w:jc w:val="center"/>
              <w:rPr>
                <w:b/>
                <w:bCs/>
                <w:sz w:val="18"/>
                <w:szCs w:val="18"/>
                <w:lang w:val="pt-PT"/>
              </w:rPr>
            </w:pPr>
          </w:p>
          <w:p w14:paraId="5FA175CE" w14:textId="77777777" w:rsidR="0058759A" w:rsidRDefault="0058759A" w:rsidP="00C93F22">
            <w:pPr>
              <w:pStyle w:val="Piedepgina"/>
              <w:spacing w:line="252" w:lineRule="auto"/>
              <w:jc w:val="center"/>
              <w:rPr>
                <w:b/>
                <w:bCs/>
                <w:sz w:val="18"/>
                <w:szCs w:val="18"/>
                <w:lang w:val="pt-PT"/>
              </w:rPr>
            </w:pPr>
          </w:p>
        </w:tc>
        <w:tc>
          <w:tcPr>
            <w:tcW w:w="2556" w:type="dxa"/>
            <w:tcMar>
              <w:top w:w="0" w:type="dxa"/>
              <w:left w:w="108" w:type="dxa"/>
              <w:bottom w:w="0" w:type="dxa"/>
              <w:right w:w="108" w:type="dxa"/>
            </w:tcMar>
            <w:vAlign w:val="center"/>
            <w:hideMark/>
          </w:tcPr>
          <w:p w14:paraId="50314643" w14:textId="77777777" w:rsidR="0058759A" w:rsidRDefault="0058759A" w:rsidP="00C93F22">
            <w:pPr>
              <w:pStyle w:val="Piedepgina"/>
              <w:spacing w:line="252" w:lineRule="auto"/>
              <w:rPr>
                <w:b/>
                <w:bCs/>
                <w:sz w:val="18"/>
                <w:szCs w:val="18"/>
                <w:lang w:val="pt-PT"/>
              </w:rPr>
            </w:pPr>
            <w:r>
              <w:rPr>
                <w:b/>
                <w:bCs/>
                <w:sz w:val="18"/>
                <w:szCs w:val="18"/>
                <w:lang w:val="pt-PT"/>
              </w:rPr>
              <w:t>Noelia Pérez</w:t>
            </w:r>
            <w:r>
              <w:rPr>
                <w:sz w:val="18"/>
                <w:szCs w:val="18"/>
                <w:lang w:val="pt-PT"/>
              </w:rPr>
              <w:t xml:space="preserve"> – 653 247 167</w:t>
            </w:r>
            <w:r>
              <w:rPr>
                <w:sz w:val="18"/>
                <w:szCs w:val="18"/>
                <w:lang w:val="pt-PT"/>
              </w:rPr>
              <w:br/>
            </w:r>
            <w:hyperlink r:id="rId6" w:history="1">
              <w:r>
                <w:rPr>
                  <w:rStyle w:val="Hipervnculo"/>
                  <w:sz w:val="18"/>
                  <w:szCs w:val="18"/>
                  <w:lang w:val="pt-PT"/>
                </w:rPr>
                <w:t>noelia.perez@iahorro.com</w:t>
              </w:r>
            </w:hyperlink>
          </w:p>
        </w:tc>
      </w:tr>
    </w:tbl>
    <w:p w14:paraId="2172FD2D" w14:textId="77777777" w:rsidR="0058759A" w:rsidRDefault="0058759A" w:rsidP="0058759A"/>
    <w:p w14:paraId="53677A98" w14:textId="77777777" w:rsidR="0058759A" w:rsidRDefault="0058759A" w:rsidP="0058759A"/>
    <w:p w14:paraId="3BD0CABF" w14:textId="77777777" w:rsidR="00381D98" w:rsidRDefault="00381D98"/>
    <w:sectPr w:rsidR="00381D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uli">
    <w:panose1 w:val="00000000000000000000"/>
    <w:charset w:val="00"/>
    <w:family w:val="auto"/>
    <w:pitch w:val="variable"/>
    <w:sig w:usb0="A00000FF" w:usb1="5000204B" w:usb2="00000000" w:usb3="00000000" w:csb0="00000193" w:csb1="00000000"/>
  </w:font>
  <w:font w:name="Montserrat">
    <w:panose1 w:val="00000500000000000000"/>
    <w:charset w:val="00"/>
    <w:family w:val="modern"/>
    <w:notTrueType/>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59A"/>
    <w:rsid w:val="0014369C"/>
    <w:rsid w:val="001B0F85"/>
    <w:rsid w:val="00381D98"/>
    <w:rsid w:val="004F76A9"/>
    <w:rsid w:val="0058759A"/>
    <w:rsid w:val="005C61A7"/>
    <w:rsid w:val="00F02D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4811E"/>
  <w15:chartTrackingRefBased/>
  <w15:docId w15:val="{D1B0C623-3E2F-448A-AA69-B7DA2CCA9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58759A"/>
    <w:pPr>
      <w:spacing w:after="0" w:line="240" w:lineRule="auto"/>
    </w:pPr>
    <w:rPr>
      <w:rFonts w:ascii="Calibri" w:hAnsi="Calibri" w:cs="Calibri"/>
      <w14:ligatures w14:val="standardContextual"/>
    </w:rPr>
  </w:style>
  <w:style w:type="paragraph" w:styleId="Ttulo1">
    <w:name w:val="heading 1"/>
    <w:basedOn w:val="Normal"/>
    <w:next w:val="Normal"/>
    <w:link w:val="Ttulo1Car"/>
    <w:uiPriority w:val="9"/>
    <w:qFormat/>
    <w:rsid w:val="005875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875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8759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8759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8759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8759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8759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8759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8759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8759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8759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8759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8759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8759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8759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8759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8759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8759A"/>
    <w:rPr>
      <w:rFonts w:eastAsiaTheme="majorEastAsia" w:cstheme="majorBidi"/>
      <w:color w:val="272727" w:themeColor="text1" w:themeTint="D8"/>
    </w:rPr>
  </w:style>
  <w:style w:type="paragraph" w:styleId="Ttulo">
    <w:name w:val="Title"/>
    <w:basedOn w:val="Normal"/>
    <w:next w:val="Normal"/>
    <w:link w:val="TtuloCar"/>
    <w:uiPriority w:val="10"/>
    <w:qFormat/>
    <w:rsid w:val="0058759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8759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8759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8759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8759A"/>
    <w:pPr>
      <w:spacing w:before="160"/>
      <w:jc w:val="center"/>
    </w:pPr>
    <w:rPr>
      <w:i/>
      <w:iCs/>
      <w:color w:val="404040" w:themeColor="text1" w:themeTint="BF"/>
    </w:rPr>
  </w:style>
  <w:style w:type="character" w:customStyle="1" w:styleId="CitaCar">
    <w:name w:val="Cita Car"/>
    <w:basedOn w:val="Fuentedeprrafopredeter"/>
    <w:link w:val="Cita"/>
    <w:uiPriority w:val="29"/>
    <w:rsid w:val="0058759A"/>
    <w:rPr>
      <w:i/>
      <w:iCs/>
      <w:color w:val="404040" w:themeColor="text1" w:themeTint="BF"/>
    </w:rPr>
  </w:style>
  <w:style w:type="paragraph" w:styleId="Prrafodelista">
    <w:name w:val="List Paragraph"/>
    <w:basedOn w:val="Normal"/>
    <w:uiPriority w:val="34"/>
    <w:qFormat/>
    <w:rsid w:val="0058759A"/>
    <w:pPr>
      <w:ind w:left="720"/>
      <w:contextualSpacing/>
    </w:pPr>
  </w:style>
  <w:style w:type="character" w:styleId="nfasisintenso">
    <w:name w:val="Intense Emphasis"/>
    <w:basedOn w:val="Fuentedeprrafopredeter"/>
    <w:uiPriority w:val="21"/>
    <w:qFormat/>
    <w:rsid w:val="0058759A"/>
    <w:rPr>
      <w:i/>
      <w:iCs/>
      <w:color w:val="0F4761" w:themeColor="accent1" w:themeShade="BF"/>
    </w:rPr>
  </w:style>
  <w:style w:type="paragraph" w:styleId="Citadestacada">
    <w:name w:val="Intense Quote"/>
    <w:basedOn w:val="Normal"/>
    <w:next w:val="Normal"/>
    <w:link w:val="CitadestacadaCar"/>
    <w:uiPriority w:val="30"/>
    <w:qFormat/>
    <w:rsid w:val="005875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8759A"/>
    <w:rPr>
      <w:i/>
      <w:iCs/>
      <w:color w:val="0F4761" w:themeColor="accent1" w:themeShade="BF"/>
    </w:rPr>
  </w:style>
  <w:style w:type="character" w:styleId="Referenciaintensa">
    <w:name w:val="Intense Reference"/>
    <w:basedOn w:val="Fuentedeprrafopredeter"/>
    <w:uiPriority w:val="32"/>
    <w:qFormat/>
    <w:rsid w:val="0058759A"/>
    <w:rPr>
      <w:b/>
      <w:bCs/>
      <w:smallCaps/>
      <w:color w:val="0F4761" w:themeColor="accent1" w:themeShade="BF"/>
      <w:spacing w:val="5"/>
    </w:rPr>
  </w:style>
  <w:style w:type="character" w:customStyle="1" w:styleId="contentpasted0">
    <w:name w:val="contentpasted0"/>
    <w:basedOn w:val="Fuentedeprrafopredeter"/>
    <w:rsid w:val="0058759A"/>
  </w:style>
  <w:style w:type="paragraph" w:customStyle="1" w:styleId="xmsonormal">
    <w:name w:val="x_msonormal"/>
    <w:basedOn w:val="Normal"/>
    <w:uiPriority w:val="99"/>
    <w:rsid w:val="0058759A"/>
    <w:rPr>
      <w:lang w:eastAsia="es-ES"/>
      <w14:ligatures w14:val="none"/>
    </w:rPr>
  </w:style>
  <w:style w:type="paragraph" w:customStyle="1" w:styleId="paragraph">
    <w:name w:val="paragraph"/>
    <w:basedOn w:val="Normal"/>
    <w:rsid w:val="0058759A"/>
    <w:pPr>
      <w:spacing w:before="100" w:beforeAutospacing="1" w:after="100" w:afterAutospacing="1"/>
    </w:pPr>
    <w:rPr>
      <w:rFonts w:ascii="Times New Roman" w:hAnsi="Times New Roman" w:cs="Times New Roman"/>
      <w:sz w:val="24"/>
      <w:szCs w:val="24"/>
      <w:lang w:eastAsia="es-ES"/>
      <w14:ligatures w14:val="none"/>
    </w:rPr>
  </w:style>
  <w:style w:type="paragraph" w:styleId="Piedepgina">
    <w:name w:val="footer"/>
    <w:basedOn w:val="Normal"/>
    <w:link w:val="PiedepginaCar"/>
    <w:uiPriority w:val="99"/>
    <w:unhideWhenUsed/>
    <w:rsid w:val="0058759A"/>
    <w:pPr>
      <w:tabs>
        <w:tab w:val="center" w:pos="4252"/>
        <w:tab w:val="right" w:pos="8504"/>
      </w:tabs>
    </w:pPr>
    <w:rPr>
      <w:rFonts w:asciiTheme="minorHAnsi" w:hAnsiTheme="minorHAnsi" w:cstheme="minorBidi"/>
      <w14:ligatures w14:val="none"/>
    </w:rPr>
  </w:style>
  <w:style w:type="character" w:customStyle="1" w:styleId="PiedepginaCar">
    <w:name w:val="Pie de página Car"/>
    <w:basedOn w:val="Fuentedeprrafopredeter"/>
    <w:link w:val="Piedepgina"/>
    <w:uiPriority w:val="99"/>
    <w:rsid w:val="0058759A"/>
  </w:style>
  <w:style w:type="character" w:styleId="Hipervnculo">
    <w:name w:val="Hyperlink"/>
    <w:basedOn w:val="Fuentedeprrafopredeter"/>
    <w:uiPriority w:val="99"/>
    <w:unhideWhenUsed/>
    <w:rsid w:val="0058759A"/>
    <w:rPr>
      <w:color w:val="0563C1"/>
      <w:u w:val="single"/>
    </w:rPr>
  </w:style>
  <w:style w:type="paragraph" w:styleId="NormalWeb">
    <w:name w:val="Normal (Web)"/>
    <w:basedOn w:val="Normal"/>
    <w:uiPriority w:val="99"/>
    <w:semiHidden/>
    <w:unhideWhenUsed/>
    <w:rsid w:val="0058759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oelia.perez@iahorro.com" TargetMode="External"/><Relationship Id="rId5" Type="http://schemas.openxmlformats.org/officeDocument/2006/relationships/hyperlink" Target="mailto:laura.martinez@iahorro.com"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538</Words>
  <Characters>2964</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Noelia Perez</cp:lastModifiedBy>
  <cp:revision>1</cp:revision>
  <dcterms:created xsi:type="dcterms:W3CDTF">2026-02-03T15:10:00Z</dcterms:created>
  <dcterms:modified xsi:type="dcterms:W3CDTF">2026-02-03T15:30:00Z</dcterms:modified>
</cp:coreProperties>
</file>