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82528F" w14:textId="77777777" w:rsidR="00221650" w:rsidRDefault="00221650" w:rsidP="00221650">
      <w:pPr>
        <w:spacing w:after="160"/>
        <w:jc w:val="center"/>
        <w:rPr>
          <w:rFonts w:ascii="Times New Roman" w:hAnsi="Times New Roman" w:cs="Times New Roman"/>
          <w:color w:val="000000"/>
          <w:sz w:val="24"/>
          <w:szCs w:val="24"/>
        </w:rPr>
      </w:pPr>
      <w:r>
        <w:rPr>
          <w:rStyle w:val="contentpasted0"/>
          <w:rFonts w:ascii="Muli" w:hAnsi="Muli"/>
          <w:b/>
          <w:bCs/>
          <w:color w:val="000000"/>
          <w:sz w:val="24"/>
          <w:szCs w:val="24"/>
        </w:rPr>
        <w:t>Análisis de la decisión del BCE, por Simone Colombelli </w:t>
      </w:r>
    </w:p>
    <w:p w14:paraId="17A624F9" w14:textId="0A00C24F" w:rsidR="00221650" w:rsidRDefault="00221650" w:rsidP="00221650">
      <w:pPr>
        <w:pStyle w:val="xmsonormal"/>
        <w:spacing w:after="160" w:line="276" w:lineRule="auto"/>
        <w:jc w:val="center"/>
        <w:rPr>
          <w:rStyle w:val="xcontentpasted0"/>
          <w:rFonts w:ascii="Montserrat" w:hAnsi="Montserrat"/>
          <w:b/>
          <w:bCs/>
          <w:color w:val="243962"/>
          <w:sz w:val="28"/>
          <w:szCs w:val="28"/>
        </w:rPr>
      </w:pPr>
      <w:r>
        <w:rPr>
          <w:rStyle w:val="xcontentpasted0"/>
          <w:rFonts w:ascii="Montserrat" w:hAnsi="Montserrat"/>
          <w:b/>
          <w:bCs/>
          <w:color w:val="243962"/>
          <w:sz w:val="28"/>
          <w:szCs w:val="28"/>
        </w:rPr>
        <w:t>El BCE frena el entusiasmo del euríbor congelando los tipos de interés hasta septiembre en el 4,25%</w:t>
      </w:r>
    </w:p>
    <w:p w14:paraId="5BE52305" w14:textId="77777777" w:rsidR="00221650" w:rsidRDefault="00221650" w:rsidP="00221650">
      <w:pPr>
        <w:pStyle w:val="xmsonormal"/>
        <w:spacing w:after="160"/>
        <w:rPr>
          <w:rStyle w:val="xcontentpasted0"/>
          <w:rFonts w:ascii="Montserrat" w:hAnsi="Montserrat"/>
          <w:b/>
          <w:bCs/>
          <w:color w:val="243962"/>
          <w:sz w:val="28"/>
          <w:szCs w:val="28"/>
        </w:rPr>
      </w:pPr>
    </w:p>
    <w:p w14:paraId="007D6A5C" w14:textId="704E5EFD" w:rsidR="00221650" w:rsidRPr="00AC043F" w:rsidRDefault="00221650" w:rsidP="00221650">
      <w:pPr>
        <w:rPr>
          <w:rFonts w:ascii="Muli" w:hAnsi="Muli"/>
          <w:sz w:val="24"/>
          <w:szCs w:val="24"/>
        </w:rPr>
      </w:pPr>
      <w:r>
        <w:rPr>
          <w:rFonts w:ascii="Muli" w:hAnsi="Muli"/>
          <w:sz w:val="24"/>
          <w:szCs w:val="24"/>
        </w:rPr>
        <w:t xml:space="preserve">Madrid, </w:t>
      </w:r>
      <w:r>
        <w:rPr>
          <w:rFonts w:ascii="Muli" w:hAnsi="Muli"/>
          <w:sz w:val="24"/>
          <w:szCs w:val="24"/>
        </w:rPr>
        <w:t>18 de julio de 2024</w:t>
      </w:r>
    </w:p>
    <w:p w14:paraId="66660258" w14:textId="7B9EEC8E" w:rsidR="00221650" w:rsidRDefault="00221650" w:rsidP="00221650">
      <w:pPr>
        <w:pStyle w:val="paragraph"/>
        <w:spacing w:before="240" w:beforeAutospacing="0" w:after="0" w:afterAutospacing="0"/>
        <w:textAlignment w:val="baseline"/>
        <w:rPr>
          <w:rStyle w:val="normaltextrun"/>
          <w:rFonts w:ascii="Muli" w:hAnsi="Muli"/>
        </w:rPr>
      </w:pPr>
      <w:r>
        <w:rPr>
          <w:rStyle w:val="normaltextrun"/>
          <w:rFonts w:ascii="Muli" w:hAnsi="Muli"/>
        </w:rPr>
        <w:t>“Los tipos de interés oficiales seguirán, al menos un mes más, en el 4,25%. El Banco Central Europeo (BCE) se reúne hoy para confirmar lo que casi todos sabemos: no habrá más movimientos</w:t>
      </w:r>
      <w:r w:rsidR="009725B1">
        <w:rPr>
          <w:rStyle w:val="normaltextrun"/>
          <w:rFonts w:ascii="Muli" w:hAnsi="Muli"/>
        </w:rPr>
        <w:t xml:space="preserve"> hasta septiembre </w:t>
      </w:r>
      <w:r>
        <w:rPr>
          <w:rStyle w:val="normaltextrun"/>
          <w:rFonts w:ascii="Muli" w:hAnsi="Muli"/>
        </w:rPr>
        <w:t xml:space="preserve">en los tipos de interés. Después de la bajada aplicada en junio de 0,25 puntos porcentuales, el organismo europeo prefiere mantener la cautela y ser conservador para no lamentar movimientos precipitados que puedan volver a disparar la inflación de la eurozona, ahora que se mantiene en niveles cercanos al objetivo marcado por Christine Lagarde del 2% (en junio se situó en el 2,5%). </w:t>
      </w:r>
    </w:p>
    <w:p w14:paraId="1EAF4087" w14:textId="592A0C83" w:rsidR="005A7B54" w:rsidRPr="004E6D71" w:rsidRDefault="00221650" w:rsidP="00221650">
      <w:pPr>
        <w:pStyle w:val="paragraph"/>
        <w:spacing w:before="240" w:beforeAutospacing="0" w:after="0" w:afterAutospacing="0"/>
        <w:textAlignment w:val="baseline"/>
        <w:rPr>
          <w:rStyle w:val="normaltextrun"/>
          <w:rFonts w:ascii="Muli" w:hAnsi="Muli"/>
        </w:rPr>
      </w:pPr>
      <w:r w:rsidRPr="004E6D71">
        <w:rPr>
          <w:rStyle w:val="normaltextrun"/>
          <w:rFonts w:ascii="Muli" w:hAnsi="Muli"/>
        </w:rPr>
        <w:t>Y, pese a que esta congelación de los tipos es más que evidente, lo sorprendente es que el euríbor no ha seguido el mismo camino durante este mes. E</w:t>
      </w:r>
      <w:r w:rsidR="00E132AD" w:rsidRPr="004E6D71">
        <w:rPr>
          <w:rStyle w:val="normaltextrun"/>
          <w:rFonts w:ascii="Muli" w:hAnsi="Muli"/>
        </w:rPr>
        <w:t>stos</w:t>
      </w:r>
      <w:r w:rsidRPr="004E6D71">
        <w:rPr>
          <w:rStyle w:val="normaltextrun"/>
          <w:rFonts w:ascii="Muli" w:hAnsi="Muli"/>
        </w:rPr>
        <w:t xml:space="preserve"> últimos días, el índice de referencia de las hipotecas variables no ha hecho otra cosa que bajar hasta registrar valores que no se veían desde principios del año pasado. Concretamente, este jueves 18 de julio, el euríbor ha anotado un dato diario del 3,503%, el </w:t>
      </w:r>
      <w:r w:rsidR="009E117B" w:rsidRPr="004E6D71">
        <w:rPr>
          <w:rStyle w:val="normaltextrun"/>
          <w:rFonts w:ascii="Muli" w:hAnsi="Muli"/>
        </w:rPr>
        <w:t xml:space="preserve">mismo que el de un día antes y el </w:t>
      </w:r>
      <w:r w:rsidRPr="004E6D71">
        <w:rPr>
          <w:rStyle w:val="normaltextrun"/>
          <w:rFonts w:ascii="Muli" w:hAnsi="Muli"/>
        </w:rPr>
        <w:t xml:space="preserve">más bajo registrado desde el 27 de marzo de 2023. </w:t>
      </w:r>
      <w:r w:rsidR="00E132AD" w:rsidRPr="004E6D71">
        <w:rPr>
          <w:rStyle w:val="normaltextrun"/>
          <w:rFonts w:ascii="Muli" w:hAnsi="Muli"/>
        </w:rPr>
        <w:t>Por este motivo,</w:t>
      </w:r>
      <w:r w:rsidRPr="004E6D71">
        <w:rPr>
          <w:rStyle w:val="normaltextrun"/>
          <w:rFonts w:ascii="Muli" w:hAnsi="Muli"/>
        </w:rPr>
        <w:t xml:space="preserve"> su dato medio mensual (a falta de </w:t>
      </w:r>
      <w:r w:rsidR="00E132AD" w:rsidRPr="004E6D71">
        <w:rPr>
          <w:rStyle w:val="normaltextrun"/>
          <w:rFonts w:ascii="Muli" w:hAnsi="Muli"/>
        </w:rPr>
        <w:t>nueve</w:t>
      </w:r>
      <w:r w:rsidRPr="004E6D71">
        <w:rPr>
          <w:rStyle w:val="normaltextrun"/>
          <w:rFonts w:ascii="Muli" w:hAnsi="Muli"/>
        </w:rPr>
        <w:t xml:space="preserve"> valores diarios para cerrar el mes de julio</w:t>
      </w:r>
      <w:r w:rsidR="00E132AD" w:rsidRPr="004E6D71">
        <w:rPr>
          <w:rStyle w:val="normaltextrun"/>
          <w:rFonts w:ascii="Muli" w:hAnsi="Muli"/>
        </w:rPr>
        <w:t>) se sitúa en el 3,5</w:t>
      </w:r>
      <w:r w:rsidR="004E6D71" w:rsidRPr="004E6D71">
        <w:rPr>
          <w:rStyle w:val="normaltextrun"/>
          <w:rFonts w:ascii="Muli" w:hAnsi="Muli"/>
        </w:rPr>
        <w:t>66</w:t>
      </w:r>
      <w:r w:rsidR="00E132AD" w:rsidRPr="004E6D71">
        <w:rPr>
          <w:rStyle w:val="normaltextrun"/>
          <w:rFonts w:ascii="Muli" w:hAnsi="Muli"/>
        </w:rPr>
        <w:t>% y es, por supuesto, el más bajo del año, pero también es el m</w:t>
      </w:r>
      <w:r w:rsidR="002B7946" w:rsidRPr="004E6D71">
        <w:rPr>
          <w:rStyle w:val="normaltextrun"/>
          <w:rFonts w:ascii="Muli" w:hAnsi="Muli"/>
        </w:rPr>
        <w:t xml:space="preserve">enor </w:t>
      </w:r>
      <w:r w:rsidR="00E132AD" w:rsidRPr="004E6D71">
        <w:rPr>
          <w:rStyle w:val="normaltextrun"/>
          <w:rFonts w:ascii="Muli" w:hAnsi="Muli"/>
        </w:rPr>
        <w:t>registrado en los últimos 17 meses, desde febrero de 2023.</w:t>
      </w:r>
    </w:p>
    <w:p w14:paraId="73026F01" w14:textId="1F9DDF24" w:rsidR="005A7B54" w:rsidRDefault="00E132AD" w:rsidP="00221650">
      <w:pPr>
        <w:pStyle w:val="paragraph"/>
        <w:spacing w:before="240" w:beforeAutospacing="0" w:after="0" w:afterAutospacing="0"/>
        <w:textAlignment w:val="baseline"/>
        <w:rPr>
          <w:rStyle w:val="normaltextrun"/>
          <w:rFonts w:ascii="Muli" w:hAnsi="Muli"/>
        </w:rPr>
      </w:pPr>
      <w:r>
        <w:rPr>
          <w:rStyle w:val="normaltextrun"/>
          <w:rFonts w:ascii="Muli" w:hAnsi="Muli"/>
        </w:rPr>
        <w:t>Con esto vemos que el euríbor quiere mover negocio, pero</w:t>
      </w:r>
      <w:r w:rsidR="005A7B54">
        <w:rPr>
          <w:rStyle w:val="normaltextrun"/>
          <w:rFonts w:ascii="Muli" w:hAnsi="Muli"/>
        </w:rPr>
        <w:t xml:space="preserve"> e</w:t>
      </w:r>
      <w:r>
        <w:rPr>
          <w:rStyle w:val="normaltextrun"/>
          <w:rFonts w:ascii="Muli" w:hAnsi="Muli"/>
        </w:rPr>
        <w:t xml:space="preserve">l </w:t>
      </w:r>
      <w:r w:rsidR="005A7B54">
        <w:rPr>
          <w:rStyle w:val="normaltextrun"/>
          <w:rFonts w:ascii="Muli" w:hAnsi="Muli"/>
        </w:rPr>
        <w:t xml:space="preserve">Banco Central Europeo </w:t>
      </w:r>
      <w:r>
        <w:rPr>
          <w:rStyle w:val="normaltextrun"/>
          <w:rFonts w:ascii="Muli" w:hAnsi="Muli"/>
        </w:rPr>
        <w:t>prefiere ser conservador</w:t>
      </w:r>
      <w:r w:rsidR="005A7B54">
        <w:rPr>
          <w:rStyle w:val="normaltextrun"/>
          <w:rFonts w:ascii="Muli" w:hAnsi="Muli"/>
        </w:rPr>
        <w:t xml:space="preserve">. Con la congelación de los tipos, Lagarde le cortará las alas al índice de referencia y seguramente volvamos a ver pequeñas subidas antes de cerrar el mes en sus próximos datos diarios. </w:t>
      </w:r>
    </w:p>
    <w:p w14:paraId="2EC4D99D" w14:textId="46B72D4A" w:rsidR="009725B1" w:rsidRDefault="00E132AD" w:rsidP="00221650">
      <w:pPr>
        <w:pStyle w:val="paragraph"/>
        <w:spacing w:before="240" w:beforeAutospacing="0" w:after="0" w:afterAutospacing="0"/>
        <w:textAlignment w:val="baseline"/>
        <w:rPr>
          <w:rStyle w:val="normaltextrun"/>
          <w:rFonts w:ascii="Muli" w:hAnsi="Muli"/>
        </w:rPr>
      </w:pPr>
      <w:r>
        <w:rPr>
          <w:rStyle w:val="normaltextrun"/>
          <w:rFonts w:ascii="Muli" w:hAnsi="Muli"/>
        </w:rPr>
        <w:t>¿</w:t>
      </w:r>
      <w:r w:rsidR="005A7B54">
        <w:rPr>
          <w:rStyle w:val="normaltextrun"/>
          <w:rFonts w:ascii="Muli" w:hAnsi="Muli"/>
        </w:rPr>
        <w:t>Q</w:t>
      </w:r>
      <w:r>
        <w:rPr>
          <w:rStyle w:val="normaltextrun"/>
          <w:rFonts w:ascii="Muli" w:hAnsi="Muli"/>
        </w:rPr>
        <w:t>ué pasará después de verano? La próxima reunión</w:t>
      </w:r>
      <w:r w:rsidR="005A7B54">
        <w:rPr>
          <w:rStyle w:val="normaltextrun"/>
          <w:rFonts w:ascii="Muli" w:hAnsi="Muli"/>
        </w:rPr>
        <w:t>, después de la de hoy,</w:t>
      </w:r>
      <w:r>
        <w:rPr>
          <w:rStyle w:val="normaltextrun"/>
          <w:rFonts w:ascii="Muli" w:hAnsi="Muli"/>
        </w:rPr>
        <w:t xml:space="preserve"> </w:t>
      </w:r>
      <w:r w:rsidR="005A7B54">
        <w:rPr>
          <w:rStyle w:val="normaltextrun"/>
          <w:rFonts w:ascii="Muli" w:hAnsi="Muli"/>
        </w:rPr>
        <w:t xml:space="preserve">que mantendrá el organismo europeo está </w:t>
      </w:r>
      <w:r>
        <w:rPr>
          <w:rStyle w:val="normaltextrun"/>
          <w:rFonts w:ascii="Muli" w:hAnsi="Muli"/>
        </w:rPr>
        <w:t>prevista</w:t>
      </w:r>
      <w:r w:rsidR="005A7B54">
        <w:rPr>
          <w:rStyle w:val="normaltextrun"/>
          <w:rFonts w:ascii="Muli" w:hAnsi="Muli"/>
        </w:rPr>
        <w:t xml:space="preserve"> para</w:t>
      </w:r>
      <w:r>
        <w:rPr>
          <w:rStyle w:val="normaltextrun"/>
          <w:rFonts w:ascii="Muli" w:hAnsi="Muli"/>
        </w:rPr>
        <w:t xml:space="preserve"> el 12 de septiembre, en lo que podríamos denominar la ‘vuelta al cole financiera’.</w:t>
      </w:r>
      <w:r w:rsidR="005A7B54">
        <w:rPr>
          <w:rStyle w:val="normaltextrun"/>
          <w:rFonts w:ascii="Muli" w:hAnsi="Muli"/>
        </w:rPr>
        <w:t xml:space="preserve"> </w:t>
      </w:r>
      <w:r>
        <w:rPr>
          <w:rStyle w:val="normaltextrun"/>
          <w:rFonts w:ascii="Muli" w:hAnsi="Muli"/>
        </w:rPr>
        <w:t>Ese día será clave y marcará en buena parte el futuro del mercado hipotecario</w:t>
      </w:r>
      <w:r w:rsidR="005A7B54">
        <w:rPr>
          <w:rStyle w:val="normaltextrun"/>
          <w:rFonts w:ascii="Muli" w:hAnsi="Muli"/>
        </w:rPr>
        <w:t xml:space="preserve"> porque seguramente se produzca otra bajada de tipos</w:t>
      </w:r>
      <w:r w:rsidR="009725B1">
        <w:rPr>
          <w:rStyle w:val="normaltextrun"/>
          <w:rFonts w:ascii="Muli" w:hAnsi="Muli"/>
        </w:rPr>
        <w:t>, tanto por parte del Banco Central Europeo como por parte de la Reserva Federal de Estados Unidos (FED), que mantiene sus tipos en el 5,5%.</w:t>
      </w:r>
    </w:p>
    <w:p w14:paraId="4DAE5BFB" w14:textId="34043B44" w:rsidR="005A7B54" w:rsidRDefault="005A7B54" w:rsidP="00221650">
      <w:pPr>
        <w:pStyle w:val="paragraph"/>
        <w:spacing w:before="240" w:beforeAutospacing="0" w:after="0" w:afterAutospacing="0"/>
        <w:textAlignment w:val="baseline"/>
        <w:rPr>
          <w:rStyle w:val="normaltextrun"/>
          <w:rFonts w:ascii="Muli" w:hAnsi="Muli"/>
        </w:rPr>
      </w:pPr>
      <w:r>
        <w:rPr>
          <w:rStyle w:val="normaltextrun"/>
          <w:rFonts w:ascii="Muli" w:hAnsi="Muli"/>
        </w:rPr>
        <w:t>Es cierto que no esperamos tampoco medidas drásticas</w:t>
      </w:r>
      <w:r w:rsidR="009725B1">
        <w:rPr>
          <w:rStyle w:val="normaltextrun"/>
          <w:rFonts w:ascii="Muli" w:hAnsi="Muli"/>
        </w:rPr>
        <w:t xml:space="preserve"> por parte de ninguno de los organismos</w:t>
      </w:r>
      <w:r>
        <w:rPr>
          <w:rStyle w:val="normaltextrun"/>
          <w:rFonts w:ascii="Muli" w:hAnsi="Muli"/>
        </w:rPr>
        <w:t>, s</w:t>
      </w:r>
      <w:r w:rsidR="00E132AD">
        <w:rPr>
          <w:rStyle w:val="normaltextrun"/>
          <w:rFonts w:ascii="Muli" w:hAnsi="Muli"/>
        </w:rPr>
        <w:t xml:space="preserve">obre todo viendo el entorno y los retos que nos acompañan, que no son pocos. </w:t>
      </w:r>
      <w:r>
        <w:rPr>
          <w:rStyle w:val="normaltextrun"/>
          <w:rFonts w:ascii="Muli" w:hAnsi="Muli"/>
        </w:rPr>
        <w:t xml:space="preserve">Pero sí podríamos ver una nueva bajada de </w:t>
      </w:r>
      <w:r>
        <w:rPr>
          <w:rStyle w:val="normaltextrun"/>
          <w:rFonts w:ascii="Muli" w:hAnsi="Muli"/>
        </w:rPr>
        <w:t>0,25 puntos porcentuales hasta situar los tipos de interés</w:t>
      </w:r>
      <w:r w:rsidR="009725B1">
        <w:rPr>
          <w:rStyle w:val="normaltextrun"/>
          <w:rFonts w:ascii="Muli" w:hAnsi="Muli"/>
        </w:rPr>
        <w:t xml:space="preserve"> en Europa a</w:t>
      </w:r>
      <w:r>
        <w:rPr>
          <w:rStyle w:val="normaltextrun"/>
          <w:rFonts w:ascii="Muli" w:hAnsi="Muli"/>
        </w:rPr>
        <w:t>l 4%.</w:t>
      </w:r>
      <w:r>
        <w:rPr>
          <w:rStyle w:val="normaltextrun"/>
          <w:rFonts w:ascii="Muli" w:hAnsi="Muli"/>
        </w:rPr>
        <w:t xml:space="preserve"> Esto influirá tanto en las ofertas hipotecarias de los bancos como en los valores del euríbor, que seguirá con más libertad su camino a la baja. </w:t>
      </w:r>
    </w:p>
    <w:p w14:paraId="194EB9D8" w14:textId="77777777" w:rsidR="00FD4184" w:rsidRDefault="005A7B54" w:rsidP="00221650">
      <w:pPr>
        <w:pStyle w:val="paragraph"/>
        <w:spacing w:before="240" w:beforeAutospacing="0" w:after="0" w:afterAutospacing="0"/>
        <w:textAlignment w:val="baseline"/>
        <w:rPr>
          <w:rStyle w:val="normaltextrun"/>
          <w:rFonts w:ascii="Muli" w:hAnsi="Muli"/>
        </w:rPr>
      </w:pPr>
      <w:r>
        <w:rPr>
          <w:rStyle w:val="normaltextrun"/>
          <w:rFonts w:ascii="Muli" w:hAnsi="Muli"/>
        </w:rPr>
        <w:lastRenderedPageBreak/>
        <w:t xml:space="preserve">No obstante, </w:t>
      </w:r>
      <w:r w:rsidR="009725B1">
        <w:rPr>
          <w:rStyle w:val="normaltextrun"/>
          <w:rFonts w:ascii="Muli" w:hAnsi="Muli"/>
        </w:rPr>
        <w:t>incluso con esta bajada</w:t>
      </w:r>
      <w:r>
        <w:rPr>
          <w:rStyle w:val="normaltextrun"/>
          <w:rFonts w:ascii="Muli" w:hAnsi="Muli"/>
        </w:rPr>
        <w:t xml:space="preserve">, todavía el margen de mejora </w:t>
      </w:r>
      <w:r w:rsidR="009725B1">
        <w:rPr>
          <w:rStyle w:val="normaltextrun"/>
          <w:rFonts w:ascii="Muli" w:hAnsi="Muli"/>
        </w:rPr>
        <w:t xml:space="preserve">para los bancos y para el euríbor </w:t>
      </w:r>
      <w:r>
        <w:rPr>
          <w:rStyle w:val="normaltextrun"/>
          <w:rFonts w:ascii="Muli" w:hAnsi="Muli"/>
        </w:rPr>
        <w:t xml:space="preserve">seguirá siendo </w:t>
      </w:r>
      <w:r w:rsidR="009725B1">
        <w:rPr>
          <w:rStyle w:val="normaltextrun"/>
          <w:rFonts w:ascii="Muli" w:hAnsi="Muli"/>
        </w:rPr>
        <w:t xml:space="preserve">bastante bajo. </w:t>
      </w:r>
    </w:p>
    <w:p w14:paraId="42951402" w14:textId="4891B80E" w:rsidR="009725B1" w:rsidRDefault="009725B1" w:rsidP="00221650">
      <w:pPr>
        <w:pStyle w:val="paragraph"/>
        <w:spacing w:before="240" w:beforeAutospacing="0" w:after="0" w:afterAutospacing="0"/>
        <w:textAlignment w:val="baseline"/>
        <w:rPr>
          <w:rStyle w:val="normaltextrun"/>
          <w:rFonts w:ascii="Muli" w:hAnsi="Muli"/>
        </w:rPr>
      </w:pPr>
      <w:r>
        <w:rPr>
          <w:rStyle w:val="normaltextrun"/>
          <w:rFonts w:ascii="Muli" w:hAnsi="Muli"/>
        </w:rPr>
        <w:t xml:space="preserve">Por un lado, </w:t>
      </w:r>
      <w:r>
        <w:rPr>
          <w:rStyle w:val="normaltextrun"/>
          <w:rFonts w:ascii="Muli" w:hAnsi="Muli"/>
        </w:rPr>
        <w:t>la banca</w:t>
      </w:r>
      <w:r>
        <w:rPr>
          <w:rStyle w:val="normaltextrun"/>
          <w:rFonts w:ascii="Muli" w:hAnsi="Muli"/>
        </w:rPr>
        <w:t xml:space="preserve"> ya ofrece buena parte de sus</w:t>
      </w:r>
      <w:r>
        <w:rPr>
          <w:rStyle w:val="normaltextrun"/>
          <w:rFonts w:ascii="Muli" w:hAnsi="Muli"/>
        </w:rPr>
        <w:t xml:space="preserve"> hipotecas fijas </w:t>
      </w:r>
      <w:r>
        <w:rPr>
          <w:rStyle w:val="normaltextrun"/>
          <w:rFonts w:ascii="Muli" w:hAnsi="Muli"/>
        </w:rPr>
        <w:t xml:space="preserve">con intereses que están </w:t>
      </w:r>
      <w:r>
        <w:rPr>
          <w:rStyle w:val="normaltextrun"/>
          <w:rFonts w:ascii="Muli" w:hAnsi="Muli"/>
        </w:rPr>
        <w:t>por debajo del 3% TIN</w:t>
      </w:r>
      <w:r>
        <w:rPr>
          <w:rStyle w:val="normaltextrun"/>
          <w:rFonts w:ascii="Muli" w:hAnsi="Muli"/>
        </w:rPr>
        <w:t>. Y</w:t>
      </w:r>
      <w:r>
        <w:rPr>
          <w:rStyle w:val="normaltextrun"/>
          <w:rFonts w:ascii="Muli" w:hAnsi="Muli"/>
        </w:rPr>
        <w:t xml:space="preserve"> en </w:t>
      </w:r>
      <w:r>
        <w:rPr>
          <w:rStyle w:val="normaltextrun"/>
          <w:rFonts w:ascii="Muli" w:hAnsi="Muli"/>
        </w:rPr>
        <w:t>iAhorro</w:t>
      </w:r>
      <w:r>
        <w:rPr>
          <w:rStyle w:val="normaltextrun"/>
          <w:rFonts w:ascii="Muli" w:hAnsi="Muli"/>
        </w:rPr>
        <w:t xml:space="preserve"> hemos visto alguna ya para buenos perfiles </w:t>
      </w:r>
      <w:r>
        <w:rPr>
          <w:rStyle w:val="normaltextrun"/>
          <w:rFonts w:ascii="Muli" w:hAnsi="Muli"/>
        </w:rPr>
        <w:t>incluso por debajo del</w:t>
      </w:r>
      <w:r>
        <w:rPr>
          <w:rStyle w:val="normaltextrun"/>
          <w:rFonts w:ascii="Muli" w:hAnsi="Muli"/>
        </w:rPr>
        <w:t xml:space="preserve"> 2,</w:t>
      </w:r>
      <w:r>
        <w:rPr>
          <w:rStyle w:val="normaltextrun"/>
          <w:rFonts w:ascii="Muli" w:hAnsi="Muli"/>
        </w:rPr>
        <w:t>5</w:t>
      </w:r>
      <w:r>
        <w:rPr>
          <w:rStyle w:val="normaltextrun"/>
          <w:rFonts w:ascii="Muli" w:hAnsi="Muli"/>
        </w:rPr>
        <w:t>%</w:t>
      </w:r>
      <w:r>
        <w:rPr>
          <w:rStyle w:val="normaltextrun"/>
          <w:rFonts w:ascii="Muli" w:hAnsi="Muli"/>
        </w:rPr>
        <w:t xml:space="preserve"> TIN</w:t>
      </w:r>
      <w:r>
        <w:rPr>
          <w:rStyle w:val="normaltextrun"/>
          <w:rFonts w:ascii="Muli" w:hAnsi="Muli"/>
        </w:rPr>
        <w:t xml:space="preserve">. </w:t>
      </w:r>
      <w:r>
        <w:rPr>
          <w:rStyle w:val="normaltextrun"/>
          <w:rFonts w:ascii="Muli" w:hAnsi="Muli"/>
        </w:rPr>
        <w:t xml:space="preserve">También la hipoteca mixta sigue siendo competitiva, con tipos de interés fijos iniciales en torno al 2% TIN, incluso por debajo para los perfiles más ‘top’. </w:t>
      </w:r>
    </w:p>
    <w:p w14:paraId="129C0A4B" w14:textId="34B24B9B" w:rsidR="009725B1" w:rsidRDefault="009725B1" w:rsidP="00221650">
      <w:pPr>
        <w:pStyle w:val="paragraph"/>
        <w:spacing w:before="240" w:beforeAutospacing="0" w:after="0" w:afterAutospacing="0"/>
        <w:textAlignment w:val="baseline"/>
        <w:rPr>
          <w:rStyle w:val="normaltextrun"/>
          <w:rFonts w:ascii="Muli" w:hAnsi="Muli"/>
        </w:rPr>
      </w:pPr>
      <w:r w:rsidRPr="009725B1">
        <w:rPr>
          <w:rStyle w:val="normaltextrun"/>
          <w:rFonts w:ascii="Muli" w:hAnsi="Muli"/>
        </w:rPr>
        <w:t>En lo que respecta al índice de referencia, el euríbor, este</w:t>
      </w:r>
      <w:r w:rsidR="00FD4184">
        <w:rPr>
          <w:rStyle w:val="normaltextrun"/>
          <w:rFonts w:ascii="Muli" w:hAnsi="Muli"/>
        </w:rPr>
        <w:t xml:space="preserve"> es</w:t>
      </w:r>
      <w:r w:rsidRPr="009725B1">
        <w:rPr>
          <w:rStyle w:val="normaltextrun"/>
          <w:rFonts w:ascii="Muli" w:hAnsi="Muli"/>
        </w:rPr>
        <w:t xml:space="preserve"> un indicador muy dinámico al que afectan muchos factores y ha roto con todas las previsiones realizadas hasta ahora. E</w:t>
      </w:r>
      <w:r w:rsidR="00FD4184">
        <w:rPr>
          <w:rStyle w:val="normaltextrun"/>
          <w:rFonts w:ascii="Muli" w:hAnsi="Muli"/>
        </w:rPr>
        <w:t>s cierto que, e</w:t>
      </w:r>
      <w:r w:rsidRPr="009725B1">
        <w:rPr>
          <w:rStyle w:val="normaltextrun"/>
          <w:rFonts w:ascii="Muli" w:hAnsi="Muli"/>
        </w:rPr>
        <w:t>n este momento hay un cierto optimismo en cuanto a futuras mejoras en sus datos, pero</w:t>
      </w:r>
      <w:r w:rsidR="00FD4184">
        <w:rPr>
          <w:rStyle w:val="normaltextrun"/>
          <w:rFonts w:ascii="Muli" w:hAnsi="Muli"/>
        </w:rPr>
        <w:t xml:space="preserve"> después de un periodo alcista, el descenso es lógico y no podemos esperar movimientos drásticos porque seguramente no los veamos a corto y medio plazo</w:t>
      </w:r>
      <w:r w:rsidR="000A44D0">
        <w:rPr>
          <w:rStyle w:val="normaltextrun"/>
          <w:rFonts w:ascii="Muli" w:hAnsi="Muli"/>
        </w:rPr>
        <w:t>”.</w:t>
      </w:r>
    </w:p>
    <w:p w14:paraId="40DF484D" w14:textId="77777777" w:rsidR="00FD4184" w:rsidRPr="003740DA" w:rsidRDefault="00FD4184" w:rsidP="00221650">
      <w:pPr>
        <w:pStyle w:val="paragraph"/>
        <w:spacing w:before="240" w:beforeAutospacing="0" w:after="0" w:afterAutospacing="0"/>
        <w:textAlignment w:val="baseline"/>
        <w:rPr>
          <w:rFonts w:ascii="Muli" w:hAnsi="Muli"/>
        </w:rPr>
      </w:pPr>
    </w:p>
    <w:p w14:paraId="5442CB02" w14:textId="77777777" w:rsidR="00221650" w:rsidRDefault="00221650" w:rsidP="00221650">
      <w:pPr>
        <w:rPr>
          <w:rStyle w:val="contentpasted0"/>
          <w:rFonts w:ascii="Muli" w:hAnsi="Muli"/>
          <w:i/>
          <w:iCs/>
          <w:color w:val="000000"/>
          <w:u w:val="single"/>
        </w:rPr>
      </w:pPr>
      <w:r>
        <w:rPr>
          <w:rStyle w:val="contentpasted0"/>
          <w:rFonts w:ascii="Muli" w:hAnsi="Muli"/>
          <w:color w:val="000000"/>
          <w:u w:val="single"/>
        </w:rPr>
        <w:t>Simone Colombelli, director de Hipotecas de iAhorro.</w:t>
      </w:r>
    </w:p>
    <w:p w14:paraId="2172F334" w14:textId="77777777" w:rsidR="00221650" w:rsidRDefault="00221650" w:rsidP="00221650">
      <w:pPr>
        <w:rPr>
          <w:rStyle w:val="contentpasted0"/>
          <w:rFonts w:ascii="Muli" w:hAnsi="Muli"/>
          <w:i/>
          <w:iCs/>
          <w:color w:val="000000"/>
          <w:u w:val="single"/>
        </w:rPr>
      </w:pPr>
    </w:p>
    <w:p w14:paraId="51E8E5CF" w14:textId="77777777" w:rsidR="00221650" w:rsidRDefault="00221650" w:rsidP="00221650">
      <w:pPr>
        <w:spacing w:after="160"/>
        <w:rPr>
          <w:rStyle w:val="contentpasted0"/>
          <w:rFonts w:ascii="Muli" w:hAnsi="Muli"/>
          <w:color w:val="000000"/>
          <w:sz w:val="24"/>
          <w:szCs w:val="24"/>
          <w:lang w:val="es-ES_tradnl"/>
        </w:rPr>
      </w:pPr>
      <w:r>
        <w:rPr>
          <w:rStyle w:val="contentpasted0"/>
          <w:rFonts w:ascii="Muli" w:hAnsi="Muli"/>
          <w:b/>
          <w:bCs/>
          <w:color w:val="243962"/>
          <w:sz w:val="24"/>
          <w:szCs w:val="24"/>
          <w:lang w:val="es-ES_tradnl"/>
        </w:rPr>
        <w:t xml:space="preserve">Si necesita más información o declaraciones en formato audiovisual: </w:t>
      </w:r>
      <w:r>
        <w:rPr>
          <w:rStyle w:val="contentpasted0"/>
          <w:rFonts w:ascii="Muli" w:hAnsi="Muli"/>
          <w:color w:val="000000"/>
          <w:sz w:val="24"/>
          <w:szCs w:val="24"/>
          <w:lang w:val="es-ES_tradnl"/>
        </w:rPr>
        <w:t>Póngase en contacto con el departamento de Comunicación. </w:t>
      </w:r>
    </w:p>
    <w:tbl>
      <w:tblPr>
        <w:tblW w:w="7092" w:type="dxa"/>
        <w:tblCellMar>
          <w:left w:w="0" w:type="dxa"/>
          <w:right w:w="0" w:type="dxa"/>
        </w:tblCellMar>
        <w:tblLook w:val="04A0" w:firstRow="1" w:lastRow="0" w:firstColumn="1" w:lastColumn="0" w:noHBand="0" w:noVBand="1"/>
      </w:tblPr>
      <w:tblGrid>
        <w:gridCol w:w="1980"/>
        <w:gridCol w:w="2556"/>
        <w:gridCol w:w="2556"/>
      </w:tblGrid>
      <w:tr w:rsidR="00221650" w14:paraId="242FC90A" w14:textId="77777777" w:rsidTr="00082D9F">
        <w:trPr>
          <w:trHeight w:val="132"/>
        </w:trPr>
        <w:tc>
          <w:tcPr>
            <w:tcW w:w="1980" w:type="dxa"/>
            <w:tcMar>
              <w:top w:w="0" w:type="dxa"/>
              <w:left w:w="108" w:type="dxa"/>
              <w:bottom w:w="0" w:type="dxa"/>
              <w:right w:w="108" w:type="dxa"/>
            </w:tcMar>
            <w:vAlign w:val="center"/>
            <w:hideMark/>
          </w:tcPr>
          <w:p w14:paraId="6EC520D2" w14:textId="77777777" w:rsidR="00221650" w:rsidRDefault="00221650" w:rsidP="00082D9F">
            <w:pPr>
              <w:pStyle w:val="Piedepgina"/>
              <w:spacing w:line="252" w:lineRule="auto"/>
              <w:rPr>
                <w:rFonts w:ascii="Aptos" w:hAnsi="Aptos" w:cs="Aptos"/>
                <w:b/>
                <w:bCs/>
                <w:sz w:val="18"/>
                <w:szCs w:val="18"/>
              </w:rPr>
            </w:pPr>
            <w:r>
              <w:rPr>
                <w:noProof/>
              </w:rPr>
              <w:drawing>
                <wp:inline distT="0" distB="0" distL="0" distR="0" wp14:anchorId="33E90503" wp14:editId="0D720176">
                  <wp:extent cx="1055370" cy="522605"/>
                  <wp:effectExtent l="0" t="0" r="11430" b="10795"/>
                  <wp:docPr id="1332602733"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10;&#10;Descripción generada automáticamente"/>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055370" cy="522605"/>
                          </a:xfrm>
                          <a:prstGeom prst="rect">
                            <a:avLst/>
                          </a:prstGeom>
                          <a:noFill/>
                          <a:ln>
                            <a:noFill/>
                          </a:ln>
                        </pic:spPr>
                      </pic:pic>
                    </a:graphicData>
                  </a:graphic>
                </wp:inline>
              </w:drawing>
            </w:r>
          </w:p>
        </w:tc>
        <w:tc>
          <w:tcPr>
            <w:tcW w:w="2556" w:type="dxa"/>
            <w:tcMar>
              <w:top w:w="0" w:type="dxa"/>
              <w:left w:w="108" w:type="dxa"/>
              <w:bottom w:w="0" w:type="dxa"/>
              <w:right w:w="108" w:type="dxa"/>
            </w:tcMar>
            <w:vAlign w:val="center"/>
          </w:tcPr>
          <w:p w14:paraId="1B890457" w14:textId="77777777" w:rsidR="00221650" w:rsidRDefault="00221650" w:rsidP="00082D9F">
            <w:pPr>
              <w:pStyle w:val="Piedepgina"/>
              <w:spacing w:line="252" w:lineRule="auto"/>
              <w:jc w:val="center"/>
              <w:rPr>
                <w:b/>
                <w:bCs/>
                <w:sz w:val="18"/>
                <w:szCs w:val="18"/>
              </w:rPr>
            </w:pPr>
          </w:p>
          <w:p w14:paraId="72782E62" w14:textId="77777777" w:rsidR="00221650" w:rsidRDefault="00221650" w:rsidP="00082D9F">
            <w:pPr>
              <w:pStyle w:val="Piedepgina"/>
              <w:spacing w:line="252" w:lineRule="auto"/>
              <w:jc w:val="center"/>
              <w:rPr>
                <w:b/>
                <w:bCs/>
                <w:sz w:val="18"/>
                <w:szCs w:val="18"/>
              </w:rPr>
            </w:pPr>
          </w:p>
          <w:p w14:paraId="079848F6" w14:textId="77777777" w:rsidR="00221650" w:rsidRDefault="00221650" w:rsidP="00082D9F">
            <w:pPr>
              <w:pStyle w:val="Piedepgina"/>
              <w:spacing w:line="252" w:lineRule="auto"/>
              <w:jc w:val="center"/>
              <w:rPr>
                <w:sz w:val="18"/>
                <w:szCs w:val="18"/>
              </w:rPr>
            </w:pPr>
            <w:r>
              <w:rPr>
                <w:b/>
                <w:bCs/>
                <w:sz w:val="18"/>
                <w:szCs w:val="18"/>
              </w:rPr>
              <w:t>Laura Martínez</w:t>
            </w:r>
            <w:r>
              <w:rPr>
                <w:sz w:val="18"/>
                <w:szCs w:val="18"/>
              </w:rPr>
              <w:t xml:space="preserve"> – 686 688 757</w:t>
            </w:r>
            <w:r>
              <w:rPr>
                <w:sz w:val="18"/>
                <w:szCs w:val="18"/>
              </w:rPr>
              <w:br/>
            </w:r>
            <w:hyperlink r:id="rId8" w:history="1">
              <w:r w:rsidRPr="009D144E">
                <w:rPr>
                  <w:rStyle w:val="Hipervnculo"/>
                  <w:sz w:val="18"/>
                  <w:szCs w:val="18"/>
                </w:rPr>
                <w:t>laura.martinez@iahorro.com</w:t>
              </w:r>
            </w:hyperlink>
          </w:p>
          <w:p w14:paraId="7833B372" w14:textId="77777777" w:rsidR="00221650" w:rsidRDefault="00221650" w:rsidP="00082D9F">
            <w:pPr>
              <w:pStyle w:val="Piedepgina"/>
              <w:spacing w:line="252" w:lineRule="auto"/>
              <w:jc w:val="center"/>
              <w:rPr>
                <w:b/>
                <w:bCs/>
                <w:sz w:val="18"/>
                <w:szCs w:val="18"/>
                <w:lang w:val="pt-PT"/>
              </w:rPr>
            </w:pPr>
          </w:p>
          <w:p w14:paraId="72781173" w14:textId="77777777" w:rsidR="00221650" w:rsidRDefault="00221650" w:rsidP="00082D9F">
            <w:pPr>
              <w:pStyle w:val="Piedepgina"/>
              <w:spacing w:line="252" w:lineRule="auto"/>
              <w:jc w:val="center"/>
              <w:rPr>
                <w:b/>
                <w:bCs/>
                <w:sz w:val="18"/>
                <w:szCs w:val="18"/>
                <w:lang w:val="pt-PT"/>
              </w:rPr>
            </w:pPr>
          </w:p>
        </w:tc>
        <w:tc>
          <w:tcPr>
            <w:tcW w:w="2556" w:type="dxa"/>
            <w:tcMar>
              <w:top w:w="0" w:type="dxa"/>
              <w:left w:w="108" w:type="dxa"/>
              <w:bottom w:w="0" w:type="dxa"/>
              <w:right w:w="108" w:type="dxa"/>
            </w:tcMar>
            <w:vAlign w:val="center"/>
            <w:hideMark/>
          </w:tcPr>
          <w:p w14:paraId="03425E7E" w14:textId="77777777" w:rsidR="00221650" w:rsidRDefault="00221650" w:rsidP="00082D9F">
            <w:pPr>
              <w:pStyle w:val="Piedepgina"/>
              <w:spacing w:line="252" w:lineRule="auto"/>
              <w:rPr>
                <w:b/>
                <w:bCs/>
                <w:sz w:val="18"/>
                <w:szCs w:val="18"/>
                <w:lang w:val="pt-PT"/>
              </w:rPr>
            </w:pPr>
            <w:r>
              <w:rPr>
                <w:b/>
                <w:bCs/>
                <w:sz w:val="18"/>
                <w:szCs w:val="18"/>
                <w:lang w:val="pt-PT"/>
              </w:rPr>
              <w:t>Noelia Pérez</w:t>
            </w:r>
            <w:r>
              <w:rPr>
                <w:sz w:val="18"/>
                <w:szCs w:val="18"/>
                <w:lang w:val="pt-PT"/>
              </w:rPr>
              <w:t xml:space="preserve"> – 653 247 167</w:t>
            </w:r>
            <w:r>
              <w:rPr>
                <w:sz w:val="18"/>
                <w:szCs w:val="18"/>
                <w:lang w:val="pt-PT"/>
              </w:rPr>
              <w:br/>
            </w:r>
            <w:hyperlink r:id="rId9" w:history="1">
              <w:r>
                <w:rPr>
                  <w:rStyle w:val="Hipervnculo"/>
                  <w:sz w:val="18"/>
                  <w:szCs w:val="18"/>
                  <w:lang w:val="pt-PT"/>
                </w:rPr>
                <w:t>noelia.perez@iahorro.com</w:t>
              </w:r>
            </w:hyperlink>
          </w:p>
        </w:tc>
      </w:tr>
    </w:tbl>
    <w:p w14:paraId="58404021" w14:textId="77777777" w:rsidR="00221650" w:rsidRDefault="00221650" w:rsidP="00221650"/>
    <w:p w14:paraId="4546DAC8" w14:textId="77777777" w:rsidR="00381D98" w:rsidRDefault="00381D98"/>
    <w:sectPr w:rsidR="00381D98" w:rsidSect="0022165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1C2FD" w14:textId="77777777" w:rsidR="00221650" w:rsidRDefault="00221650" w:rsidP="00221650">
      <w:r>
        <w:separator/>
      </w:r>
    </w:p>
  </w:endnote>
  <w:endnote w:type="continuationSeparator" w:id="0">
    <w:p w14:paraId="57500E39" w14:textId="77777777" w:rsidR="00221650" w:rsidRDefault="00221650" w:rsidP="00221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uli">
    <w:altName w:val="Calibri"/>
    <w:panose1 w:val="00000000000000000000"/>
    <w:charset w:val="00"/>
    <w:family w:val="auto"/>
    <w:pitch w:val="variable"/>
    <w:sig w:usb0="A00000FF" w:usb1="5000204B" w:usb2="00000000" w:usb3="00000000" w:csb0="00000193" w:csb1="00000000"/>
  </w:font>
  <w:font w:name="Montserrat">
    <w:panose1 w:val="00000500000000000000"/>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446539" w14:textId="77777777" w:rsidR="00221650" w:rsidRDefault="00221650" w:rsidP="00221650">
      <w:r>
        <w:separator/>
      </w:r>
    </w:p>
  </w:footnote>
  <w:footnote w:type="continuationSeparator" w:id="0">
    <w:p w14:paraId="188C13B5" w14:textId="77777777" w:rsidR="00221650" w:rsidRDefault="00221650" w:rsidP="002216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650"/>
    <w:rsid w:val="000A44D0"/>
    <w:rsid w:val="0014369C"/>
    <w:rsid w:val="001B0F85"/>
    <w:rsid w:val="00221650"/>
    <w:rsid w:val="002656DA"/>
    <w:rsid w:val="002B7946"/>
    <w:rsid w:val="00381D98"/>
    <w:rsid w:val="004C1676"/>
    <w:rsid w:val="004E6D71"/>
    <w:rsid w:val="005A7B54"/>
    <w:rsid w:val="009725B1"/>
    <w:rsid w:val="009E117B"/>
    <w:rsid w:val="00E132AD"/>
    <w:rsid w:val="00FD41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B13A"/>
  <w15:chartTrackingRefBased/>
  <w15:docId w15:val="{853C1FC7-2710-4F55-9056-3645848AF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650"/>
    <w:pPr>
      <w:spacing w:after="0" w:line="240" w:lineRule="auto"/>
    </w:pPr>
    <w:rPr>
      <w:rFonts w:ascii="Calibri" w:hAnsi="Calibri" w:cs="Calibri"/>
      <w14:ligatures w14:val="standardContextual"/>
    </w:rPr>
  </w:style>
  <w:style w:type="paragraph" w:styleId="Ttulo1">
    <w:name w:val="heading 1"/>
    <w:basedOn w:val="Normal"/>
    <w:next w:val="Normal"/>
    <w:link w:val="Ttulo1Car"/>
    <w:uiPriority w:val="9"/>
    <w:qFormat/>
    <w:rsid w:val="0022165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14:ligatures w14:val="none"/>
    </w:rPr>
  </w:style>
  <w:style w:type="paragraph" w:styleId="Ttulo2">
    <w:name w:val="heading 2"/>
    <w:basedOn w:val="Normal"/>
    <w:next w:val="Normal"/>
    <w:link w:val="Ttulo2Car"/>
    <w:uiPriority w:val="9"/>
    <w:semiHidden/>
    <w:unhideWhenUsed/>
    <w:qFormat/>
    <w:rsid w:val="0022165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14:ligatures w14:val="none"/>
    </w:rPr>
  </w:style>
  <w:style w:type="paragraph" w:styleId="Ttulo3">
    <w:name w:val="heading 3"/>
    <w:basedOn w:val="Normal"/>
    <w:next w:val="Normal"/>
    <w:link w:val="Ttulo3Car"/>
    <w:uiPriority w:val="9"/>
    <w:semiHidden/>
    <w:unhideWhenUsed/>
    <w:qFormat/>
    <w:rsid w:val="00221650"/>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14:ligatures w14:val="none"/>
    </w:rPr>
  </w:style>
  <w:style w:type="paragraph" w:styleId="Ttulo4">
    <w:name w:val="heading 4"/>
    <w:basedOn w:val="Normal"/>
    <w:next w:val="Normal"/>
    <w:link w:val="Ttulo4Car"/>
    <w:uiPriority w:val="9"/>
    <w:semiHidden/>
    <w:unhideWhenUsed/>
    <w:qFormat/>
    <w:rsid w:val="00221650"/>
    <w:pPr>
      <w:keepNext/>
      <w:keepLines/>
      <w:spacing w:before="80" w:after="40" w:line="259" w:lineRule="auto"/>
      <w:outlineLvl w:val="3"/>
    </w:pPr>
    <w:rPr>
      <w:rFonts w:asciiTheme="minorHAnsi" w:eastAsiaTheme="majorEastAsia" w:hAnsiTheme="minorHAnsi" w:cstheme="majorBidi"/>
      <w:i/>
      <w:iCs/>
      <w:color w:val="0F4761" w:themeColor="accent1" w:themeShade="BF"/>
      <w14:ligatures w14:val="none"/>
    </w:rPr>
  </w:style>
  <w:style w:type="paragraph" w:styleId="Ttulo5">
    <w:name w:val="heading 5"/>
    <w:basedOn w:val="Normal"/>
    <w:next w:val="Normal"/>
    <w:link w:val="Ttulo5Car"/>
    <w:uiPriority w:val="9"/>
    <w:semiHidden/>
    <w:unhideWhenUsed/>
    <w:qFormat/>
    <w:rsid w:val="00221650"/>
    <w:pPr>
      <w:keepNext/>
      <w:keepLines/>
      <w:spacing w:before="80" w:after="40" w:line="259" w:lineRule="auto"/>
      <w:outlineLvl w:val="4"/>
    </w:pPr>
    <w:rPr>
      <w:rFonts w:asciiTheme="minorHAnsi" w:eastAsiaTheme="majorEastAsia" w:hAnsiTheme="minorHAnsi" w:cstheme="majorBidi"/>
      <w:color w:val="0F4761" w:themeColor="accent1" w:themeShade="BF"/>
      <w14:ligatures w14:val="none"/>
    </w:rPr>
  </w:style>
  <w:style w:type="paragraph" w:styleId="Ttulo6">
    <w:name w:val="heading 6"/>
    <w:basedOn w:val="Normal"/>
    <w:next w:val="Normal"/>
    <w:link w:val="Ttulo6Car"/>
    <w:uiPriority w:val="9"/>
    <w:semiHidden/>
    <w:unhideWhenUsed/>
    <w:qFormat/>
    <w:rsid w:val="00221650"/>
    <w:pPr>
      <w:keepNext/>
      <w:keepLines/>
      <w:spacing w:before="40" w:line="259" w:lineRule="auto"/>
      <w:outlineLvl w:val="5"/>
    </w:pPr>
    <w:rPr>
      <w:rFonts w:asciiTheme="minorHAnsi" w:eastAsiaTheme="majorEastAsia" w:hAnsiTheme="minorHAnsi" w:cstheme="majorBidi"/>
      <w:i/>
      <w:iCs/>
      <w:color w:val="595959" w:themeColor="text1" w:themeTint="A6"/>
      <w14:ligatures w14:val="none"/>
    </w:rPr>
  </w:style>
  <w:style w:type="paragraph" w:styleId="Ttulo7">
    <w:name w:val="heading 7"/>
    <w:basedOn w:val="Normal"/>
    <w:next w:val="Normal"/>
    <w:link w:val="Ttulo7Car"/>
    <w:uiPriority w:val="9"/>
    <w:semiHidden/>
    <w:unhideWhenUsed/>
    <w:qFormat/>
    <w:rsid w:val="00221650"/>
    <w:pPr>
      <w:keepNext/>
      <w:keepLines/>
      <w:spacing w:before="40" w:line="259" w:lineRule="auto"/>
      <w:outlineLvl w:val="6"/>
    </w:pPr>
    <w:rPr>
      <w:rFonts w:asciiTheme="minorHAnsi" w:eastAsiaTheme="majorEastAsia" w:hAnsiTheme="minorHAnsi" w:cstheme="majorBidi"/>
      <w:color w:val="595959" w:themeColor="text1" w:themeTint="A6"/>
      <w14:ligatures w14:val="none"/>
    </w:rPr>
  </w:style>
  <w:style w:type="paragraph" w:styleId="Ttulo8">
    <w:name w:val="heading 8"/>
    <w:basedOn w:val="Normal"/>
    <w:next w:val="Normal"/>
    <w:link w:val="Ttulo8Car"/>
    <w:uiPriority w:val="9"/>
    <w:semiHidden/>
    <w:unhideWhenUsed/>
    <w:qFormat/>
    <w:rsid w:val="00221650"/>
    <w:pPr>
      <w:keepNext/>
      <w:keepLines/>
      <w:spacing w:line="259" w:lineRule="auto"/>
      <w:outlineLvl w:val="7"/>
    </w:pPr>
    <w:rPr>
      <w:rFonts w:asciiTheme="minorHAnsi" w:eastAsiaTheme="majorEastAsia" w:hAnsiTheme="minorHAnsi" w:cstheme="majorBidi"/>
      <w:i/>
      <w:iCs/>
      <w:color w:val="272727" w:themeColor="text1" w:themeTint="D8"/>
      <w14:ligatures w14:val="none"/>
    </w:rPr>
  </w:style>
  <w:style w:type="paragraph" w:styleId="Ttulo9">
    <w:name w:val="heading 9"/>
    <w:basedOn w:val="Normal"/>
    <w:next w:val="Normal"/>
    <w:link w:val="Ttulo9Car"/>
    <w:uiPriority w:val="9"/>
    <w:semiHidden/>
    <w:unhideWhenUsed/>
    <w:qFormat/>
    <w:rsid w:val="00221650"/>
    <w:pPr>
      <w:keepNext/>
      <w:keepLines/>
      <w:spacing w:line="259" w:lineRule="auto"/>
      <w:outlineLvl w:val="8"/>
    </w:pPr>
    <w:rPr>
      <w:rFonts w:asciiTheme="minorHAnsi" w:eastAsiaTheme="majorEastAsia" w:hAnsiTheme="minorHAnsi" w:cstheme="majorBidi"/>
      <w:color w:val="272727" w:themeColor="text1" w:themeTint="D8"/>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165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2165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2165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2165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2165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216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216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216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21650"/>
    <w:rPr>
      <w:rFonts w:eastAsiaTheme="majorEastAsia" w:cstheme="majorBidi"/>
      <w:color w:val="272727" w:themeColor="text1" w:themeTint="D8"/>
    </w:rPr>
  </w:style>
  <w:style w:type="paragraph" w:styleId="Ttulo">
    <w:name w:val="Title"/>
    <w:basedOn w:val="Normal"/>
    <w:next w:val="Normal"/>
    <w:link w:val="TtuloCar"/>
    <w:uiPriority w:val="10"/>
    <w:qFormat/>
    <w:rsid w:val="00221650"/>
    <w:pPr>
      <w:spacing w:after="80"/>
      <w:contextualSpacing/>
    </w:pPr>
    <w:rPr>
      <w:rFonts w:asciiTheme="majorHAnsi" w:eastAsiaTheme="majorEastAsia" w:hAnsiTheme="majorHAnsi" w:cstheme="majorBidi"/>
      <w:spacing w:val="-10"/>
      <w:kern w:val="28"/>
      <w:sz w:val="56"/>
      <w:szCs w:val="56"/>
      <w14:ligatures w14:val="none"/>
    </w:rPr>
  </w:style>
  <w:style w:type="character" w:customStyle="1" w:styleId="TtuloCar">
    <w:name w:val="Título Car"/>
    <w:basedOn w:val="Fuentedeprrafopredeter"/>
    <w:link w:val="Ttulo"/>
    <w:uiPriority w:val="10"/>
    <w:rsid w:val="002216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21650"/>
    <w:pPr>
      <w:numPr>
        <w:ilvl w:val="1"/>
      </w:numPr>
      <w:spacing w:after="160" w:line="259" w:lineRule="auto"/>
    </w:pPr>
    <w:rPr>
      <w:rFonts w:asciiTheme="minorHAnsi" w:eastAsiaTheme="majorEastAsia" w:hAnsiTheme="minorHAnsi" w:cstheme="majorBidi"/>
      <w:color w:val="595959" w:themeColor="text1" w:themeTint="A6"/>
      <w:spacing w:val="15"/>
      <w:sz w:val="28"/>
      <w:szCs w:val="28"/>
      <w14:ligatures w14:val="none"/>
    </w:rPr>
  </w:style>
  <w:style w:type="character" w:customStyle="1" w:styleId="SubttuloCar">
    <w:name w:val="Subtítulo Car"/>
    <w:basedOn w:val="Fuentedeprrafopredeter"/>
    <w:link w:val="Subttulo"/>
    <w:uiPriority w:val="11"/>
    <w:rsid w:val="0022165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21650"/>
    <w:pPr>
      <w:spacing w:before="160" w:after="160" w:line="259" w:lineRule="auto"/>
      <w:jc w:val="center"/>
    </w:pPr>
    <w:rPr>
      <w:rFonts w:asciiTheme="minorHAnsi" w:hAnsiTheme="minorHAnsi" w:cstheme="minorBidi"/>
      <w:i/>
      <w:iCs/>
      <w:color w:val="404040" w:themeColor="text1" w:themeTint="BF"/>
      <w14:ligatures w14:val="none"/>
    </w:rPr>
  </w:style>
  <w:style w:type="character" w:customStyle="1" w:styleId="CitaCar">
    <w:name w:val="Cita Car"/>
    <w:basedOn w:val="Fuentedeprrafopredeter"/>
    <w:link w:val="Cita"/>
    <w:uiPriority w:val="29"/>
    <w:rsid w:val="00221650"/>
    <w:rPr>
      <w:i/>
      <w:iCs/>
      <w:color w:val="404040" w:themeColor="text1" w:themeTint="BF"/>
    </w:rPr>
  </w:style>
  <w:style w:type="paragraph" w:styleId="Prrafodelista">
    <w:name w:val="List Paragraph"/>
    <w:basedOn w:val="Normal"/>
    <w:uiPriority w:val="34"/>
    <w:qFormat/>
    <w:rsid w:val="00221650"/>
    <w:pPr>
      <w:spacing w:after="160" w:line="259" w:lineRule="auto"/>
      <w:ind w:left="720"/>
      <w:contextualSpacing/>
    </w:pPr>
    <w:rPr>
      <w:rFonts w:asciiTheme="minorHAnsi" w:hAnsiTheme="minorHAnsi" w:cstheme="minorBidi"/>
      <w14:ligatures w14:val="none"/>
    </w:rPr>
  </w:style>
  <w:style w:type="character" w:styleId="nfasisintenso">
    <w:name w:val="Intense Emphasis"/>
    <w:basedOn w:val="Fuentedeprrafopredeter"/>
    <w:uiPriority w:val="21"/>
    <w:qFormat/>
    <w:rsid w:val="00221650"/>
    <w:rPr>
      <w:i/>
      <w:iCs/>
      <w:color w:val="0F4761" w:themeColor="accent1" w:themeShade="BF"/>
    </w:rPr>
  </w:style>
  <w:style w:type="paragraph" w:styleId="Citadestacada">
    <w:name w:val="Intense Quote"/>
    <w:basedOn w:val="Normal"/>
    <w:next w:val="Normal"/>
    <w:link w:val="CitadestacadaCar"/>
    <w:uiPriority w:val="30"/>
    <w:qFormat/>
    <w:rsid w:val="0022165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14:ligatures w14:val="none"/>
    </w:rPr>
  </w:style>
  <w:style w:type="character" w:customStyle="1" w:styleId="CitadestacadaCar">
    <w:name w:val="Cita destacada Car"/>
    <w:basedOn w:val="Fuentedeprrafopredeter"/>
    <w:link w:val="Citadestacada"/>
    <w:uiPriority w:val="30"/>
    <w:rsid w:val="00221650"/>
    <w:rPr>
      <w:i/>
      <w:iCs/>
      <w:color w:val="0F4761" w:themeColor="accent1" w:themeShade="BF"/>
    </w:rPr>
  </w:style>
  <w:style w:type="character" w:styleId="Referenciaintensa">
    <w:name w:val="Intense Reference"/>
    <w:basedOn w:val="Fuentedeprrafopredeter"/>
    <w:uiPriority w:val="32"/>
    <w:qFormat/>
    <w:rsid w:val="00221650"/>
    <w:rPr>
      <w:b/>
      <w:bCs/>
      <w:smallCaps/>
      <w:color w:val="0F4761" w:themeColor="accent1" w:themeShade="BF"/>
      <w:spacing w:val="5"/>
    </w:rPr>
  </w:style>
  <w:style w:type="character" w:customStyle="1" w:styleId="contentpasted0">
    <w:name w:val="contentpasted0"/>
    <w:basedOn w:val="Fuentedeprrafopredeter"/>
    <w:rsid w:val="00221650"/>
  </w:style>
  <w:style w:type="paragraph" w:customStyle="1" w:styleId="xmsonormal">
    <w:name w:val="x_msonormal"/>
    <w:basedOn w:val="Normal"/>
    <w:uiPriority w:val="99"/>
    <w:rsid w:val="00221650"/>
    <w:rPr>
      <w:lang w:eastAsia="es-ES"/>
      <w14:ligatures w14:val="none"/>
    </w:rPr>
  </w:style>
  <w:style w:type="character" w:customStyle="1" w:styleId="xcontentpasted0">
    <w:name w:val="x_contentpasted0"/>
    <w:basedOn w:val="Fuentedeprrafopredeter"/>
    <w:rsid w:val="00221650"/>
  </w:style>
  <w:style w:type="paragraph" w:customStyle="1" w:styleId="paragraph">
    <w:name w:val="paragraph"/>
    <w:basedOn w:val="Normal"/>
    <w:rsid w:val="00221650"/>
    <w:pPr>
      <w:spacing w:before="100" w:beforeAutospacing="1" w:after="100" w:afterAutospacing="1"/>
    </w:pPr>
    <w:rPr>
      <w:rFonts w:ascii="Times New Roman" w:hAnsi="Times New Roman" w:cs="Times New Roman"/>
      <w:sz w:val="24"/>
      <w:szCs w:val="24"/>
      <w:lang w:eastAsia="es-ES"/>
      <w14:ligatures w14:val="none"/>
    </w:rPr>
  </w:style>
  <w:style w:type="character" w:customStyle="1" w:styleId="normaltextrun">
    <w:name w:val="normaltextrun"/>
    <w:basedOn w:val="Fuentedeprrafopredeter"/>
    <w:rsid w:val="00221650"/>
  </w:style>
  <w:style w:type="paragraph" w:styleId="Piedepgina">
    <w:name w:val="footer"/>
    <w:basedOn w:val="Normal"/>
    <w:link w:val="PiedepginaCar"/>
    <w:uiPriority w:val="99"/>
    <w:unhideWhenUsed/>
    <w:rsid w:val="00221650"/>
    <w:pPr>
      <w:tabs>
        <w:tab w:val="center" w:pos="4252"/>
        <w:tab w:val="right" w:pos="8504"/>
      </w:tabs>
    </w:pPr>
    <w:rPr>
      <w:rFonts w:asciiTheme="minorHAnsi" w:hAnsiTheme="minorHAnsi" w:cstheme="minorBidi"/>
      <w14:ligatures w14:val="none"/>
    </w:rPr>
  </w:style>
  <w:style w:type="character" w:customStyle="1" w:styleId="PiedepginaCar">
    <w:name w:val="Pie de página Car"/>
    <w:basedOn w:val="Fuentedeprrafopredeter"/>
    <w:link w:val="Piedepgina"/>
    <w:uiPriority w:val="99"/>
    <w:rsid w:val="00221650"/>
  </w:style>
  <w:style w:type="character" w:styleId="Hipervnculo">
    <w:name w:val="Hyperlink"/>
    <w:basedOn w:val="Fuentedeprrafopredeter"/>
    <w:uiPriority w:val="99"/>
    <w:unhideWhenUsed/>
    <w:rsid w:val="00221650"/>
    <w:rPr>
      <w:color w:val="0563C1"/>
      <w:u w:val="single"/>
    </w:rPr>
  </w:style>
  <w:style w:type="paragraph" w:styleId="Encabezado">
    <w:name w:val="header"/>
    <w:basedOn w:val="Normal"/>
    <w:link w:val="EncabezadoCar"/>
    <w:uiPriority w:val="99"/>
    <w:unhideWhenUsed/>
    <w:rsid w:val="00221650"/>
    <w:pPr>
      <w:tabs>
        <w:tab w:val="center" w:pos="4252"/>
        <w:tab w:val="right" w:pos="8504"/>
      </w:tabs>
    </w:pPr>
  </w:style>
  <w:style w:type="character" w:customStyle="1" w:styleId="EncabezadoCar">
    <w:name w:val="Encabezado Car"/>
    <w:basedOn w:val="Fuentedeprrafopredeter"/>
    <w:link w:val="Encabezado"/>
    <w:uiPriority w:val="99"/>
    <w:rsid w:val="00221650"/>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martinez@iahorro.com" TargetMode="External"/><Relationship Id="rId3" Type="http://schemas.openxmlformats.org/officeDocument/2006/relationships/webSettings" Target="webSettings.xml"/><Relationship Id="rId7" Type="http://schemas.openxmlformats.org/officeDocument/2006/relationships/image" Target="cid:image001.png@01DAB02B.F77800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noelia.perez@iahorro.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623</Words>
  <Characters>3430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Noelia Perez</cp:lastModifiedBy>
  <cp:revision>6</cp:revision>
  <dcterms:created xsi:type="dcterms:W3CDTF">2024-07-18T08:15:00Z</dcterms:created>
  <dcterms:modified xsi:type="dcterms:W3CDTF">2024-07-18T09:07:00Z</dcterms:modified>
</cp:coreProperties>
</file>