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B0113" w14:textId="77777777" w:rsidR="004036E1" w:rsidRDefault="004036E1" w:rsidP="004036E1">
      <w:pPr>
        <w:spacing w:after="160"/>
        <w:jc w:val="center"/>
        <w:rPr>
          <w:rFonts w:ascii="Times New Roman" w:hAnsi="Times New Roman" w:cs="Times New Roman"/>
          <w:color w:val="000000"/>
          <w:sz w:val="24"/>
          <w:szCs w:val="24"/>
        </w:rPr>
      </w:pPr>
      <w:r>
        <w:rPr>
          <w:rStyle w:val="contentpasted0"/>
          <w:rFonts w:ascii="Muli" w:hAnsi="Muli"/>
          <w:b/>
          <w:bCs/>
          <w:color w:val="000000"/>
          <w:sz w:val="24"/>
          <w:szCs w:val="24"/>
        </w:rPr>
        <w:t>Análisis de la decisión del BCE, por Laura Martínez </w:t>
      </w:r>
    </w:p>
    <w:p w14:paraId="4EC5101E" w14:textId="38A37F75" w:rsidR="004036E1" w:rsidRPr="005C61A7" w:rsidRDefault="00AE2CAC" w:rsidP="004036E1">
      <w:pPr>
        <w:pStyle w:val="xmsonormal"/>
        <w:spacing w:after="160"/>
        <w:jc w:val="center"/>
        <w:rPr>
          <w:rFonts w:ascii="Montserrat" w:hAnsi="Montserrat"/>
          <w:b/>
          <w:bCs/>
          <w:color w:val="243962"/>
          <w:sz w:val="32"/>
          <w:szCs w:val="32"/>
        </w:rPr>
      </w:pPr>
      <w:r>
        <w:rPr>
          <w:rFonts w:ascii="Montserrat" w:hAnsi="Montserrat"/>
          <w:b/>
          <w:bCs/>
          <w:color w:val="243962"/>
          <w:sz w:val="32"/>
          <w:szCs w:val="32"/>
        </w:rPr>
        <w:t>Cambio de ciclo contra la inflación: el BCE se prepara para anunciar su primer incremento de los tipos de interés en tres años</w:t>
      </w:r>
    </w:p>
    <w:p w14:paraId="79081D0C" w14:textId="77777777" w:rsidR="004036E1" w:rsidRDefault="004036E1" w:rsidP="004036E1">
      <w:pPr>
        <w:rPr>
          <w:rFonts w:ascii="Muli" w:hAnsi="Muli"/>
          <w:sz w:val="24"/>
          <w:szCs w:val="24"/>
        </w:rPr>
      </w:pPr>
    </w:p>
    <w:p w14:paraId="474F4082" w14:textId="1C6052B4" w:rsidR="004036E1" w:rsidRPr="00AC043F" w:rsidRDefault="004036E1" w:rsidP="004036E1">
      <w:pPr>
        <w:rPr>
          <w:rFonts w:ascii="Muli" w:hAnsi="Muli"/>
          <w:sz w:val="24"/>
          <w:szCs w:val="24"/>
        </w:rPr>
      </w:pPr>
      <w:r w:rsidRPr="200BADFB">
        <w:rPr>
          <w:rFonts w:ascii="Muli" w:hAnsi="Muli"/>
          <w:sz w:val="24"/>
          <w:szCs w:val="24"/>
        </w:rPr>
        <w:t xml:space="preserve">Madrid, </w:t>
      </w:r>
      <w:r>
        <w:rPr>
          <w:rFonts w:ascii="Muli" w:hAnsi="Muli"/>
          <w:sz w:val="24"/>
          <w:szCs w:val="24"/>
        </w:rPr>
        <w:t>1</w:t>
      </w:r>
      <w:r w:rsidR="00AE2CAC">
        <w:rPr>
          <w:rFonts w:ascii="Muli" w:hAnsi="Muli"/>
          <w:sz w:val="24"/>
          <w:szCs w:val="24"/>
        </w:rPr>
        <w:t>0</w:t>
      </w:r>
      <w:r>
        <w:rPr>
          <w:rFonts w:ascii="Muli" w:hAnsi="Muli"/>
          <w:sz w:val="24"/>
          <w:szCs w:val="24"/>
        </w:rPr>
        <w:t xml:space="preserve"> de </w:t>
      </w:r>
      <w:r w:rsidR="00AE2CAC">
        <w:rPr>
          <w:rFonts w:ascii="Muli" w:hAnsi="Muli"/>
          <w:sz w:val="24"/>
          <w:szCs w:val="24"/>
        </w:rPr>
        <w:t>junio</w:t>
      </w:r>
      <w:r>
        <w:rPr>
          <w:rFonts w:ascii="Muli" w:hAnsi="Muli"/>
          <w:sz w:val="24"/>
          <w:szCs w:val="24"/>
        </w:rPr>
        <w:t xml:space="preserve"> de 2026</w:t>
      </w:r>
    </w:p>
    <w:p w14:paraId="2356B4DC" w14:textId="37C6537B" w:rsidR="00AE2CAC" w:rsidRDefault="00AE2CAC" w:rsidP="00AE2CAC">
      <w:pPr>
        <w:pStyle w:val="paragraph"/>
        <w:spacing w:before="240"/>
        <w:jc w:val="both"/>
        <w:textAlignment w:val="baseline"/>
        <w:rPr>
          <w:rFonts w:ascii="Muli" w:hAnsi="Muli"/>
        </w:rPr>
      </w:pPr>
      <w:r w:rsidRPr="00C43347">
        <w:rPr>
          <w:rFonts w:ascii="Muli" w:hAnsi="Muli"/>
        </w:rPr>
        <w:t xml:space="preserve">La reunión que celebrará el Banco Central Europeo </w:t>
      </w:r>
      <w:r>
        <w:rPr>
          <w:rFonts w:ascii="Muli" w:hAnsi="Muli"/>
        </w:rPr>
        <w:t xml:space="preserve">(BCE) </w:t>
      </w:r>
      <w:r w:rsidRPr="00C43347">
        <w:rPr>
          <w:rFonts w:ascii="Muli" w:hAnsi="Muli"/>
        </w:rPr>
        <w:t xml:space="preserve">este jueves, </w:t>
      </w:r>
      <w:r>
        <w:rPr>
          <w:rFonts w:ascii="Muli" w:hAnsi="Muli"/>
        </w:rPr>
        <w:t>11</w:t>
      </w:r>
      <w:r w:rsidRPr="00C43347">
        <w:rPr>
          <w:rFonts w:ascii="Muli" w:hAnsi="Muli"/>
        </w:rPr>
        <w:t xml:space="preserve"> de </w:t>
      </w:r>
      <w:r>
        <w:rPr>
          <w:rFonts w:ascii="Muli" w:hAnsi="Muli"/>
        </w:rPr>
        <w:t>junio</w:t>
      </w:r>
      <w:r w:rsidRPr="00C43347">
        <w:rPr>
          <w:rFonts w:ascii="Muli" w:hAnsi="Muli"/>
        </w:rPr>
        <w:t>,</w:t>
      </w:r>
      <w:r>
        <w:rPr>
          <w:rFonts w:ascii="Muli" w:hAnsi="Muli"/>
        </w:rPr>
        <w:t xml:space="preserve"> es una de las más esperadas por los mercados financieros</w:t>
      </w:r>
      <w:r>
        <w:rPr>
          <w:rFonts w:ascii="Muli" w:hAnsi="Muli"/>
        </w:rPr>
        <w:t xml:space="preserve"> y que confirma la falta de optimismo de los últimos meses</w:t>
      </w:r>
      <w:r>
        <w:rPr>
          <w:rFonts w:ascii="Muli" w:hAnsi="Muli"/>
        </w:rPr>
        <w:t xml:space="preserve">. </w:t>
      </w:r>
      <w:r>
        <w:rPr>
          <w:rFonts w:ascii="Muli" w:hAnsi="Muli"/>
        </w:rPr>
        <w:t>Tras varios meses de contención, l</w:t>
      </w:r>
      <w:r>
        <w:rPr>
          <w:rFonts w:ascii="Muli" w:hAnsi="Muli"/>
        </w:rPr>
        <w:t>os analistas anticipan que la institución presidida por Christine Lagarde podría anunciar una subida de los tipos de interés de 25</w:t>
      </w:r>
      <w:r>
        <w:rPr>
          <w:rFonts w:ascii="Muli" w:hAnsi="Muli"/>
        </w:rPr>
        <w:t xml:space="preserve"> puntos básicos hasta situarlos en el 2,25% como medida de contención ante la inflación </w:t>
      </w:r>
      <w:r>
        <w:rPr>
          <w:rFonts w:ascii="Muli" w:hAnsi="Muli"/>
        </w:rPr>
        <w:t xml:space="preserve">creciente provocada por la guerra </w:t>
      </w:r>
      <w:r>
        <w:rPr>
          <w:rFonts w:ascii="Muli" w:hAnsi="Muli"/>
        </w:rPr>
        <w:t>en</w:t>
      </w:r>
      <w:r>
        <w:rPr>
          <w:rFonts w:ascii="Muli" w:hAnsi="Muli"/>
        </w:rPr>
        <w:t xml:space="preserve"> Irán</w:t>
      </w:r>
      <w:r>
        <w:rPr>
          <w:rFonts w:ascii="Muli" w:hAnsi="Muli"/>
        </w:rPr>
        <w:t xml:space="preserve">. Es la primera subida de tipos en casi tres años, cuanto la guerra en Ucrania impactó en la economía europea. </w:t>
      </w:r>
    </w:p>
    <w:p w14:paraId="6206BBA9" w14:textId="1A796D37" w:rsidR="00AE2CAC" w:rsidRDefault="00AE2CAC" w:rsidP="00AE2CAC">
      <w:pPr>
        <w:pStyle w:val="paragraph"/>
        <w:spacing w:before="240"/>
        <w:jc w:val="both"/>
        <w:textAlignment w:val="baseline"/>
        <w:rPr>
          <w:rFonts w:ascii="Muli" w:hAnsi="Muli"/>
        </w:rPr>
      </w:pPr>
      <w:r>
        <w:rPr>
          <w:rFonts w:ascii="Muli" w:hAnsi="Muli"/>
        </w:rPr>
        <w:t>El mensaje de cambio de ciclo preventivo se produce en un momento en el que la economía europea muestra signos de debilidad</w:t>
      </w:r>
      <w:r w:rsidRPr="00AE2CAC">
        <w:rPr>
          <w:rFonts w:ascii="Muli" w:hAnsi="Muli"/>
        </w:rPr>
        <w:t xml:space="preserve"> </w:t>
      </w:r>
      <w:r>
        <w:rPr>
          <w:rFonts w:ascii="Muli" w:hAnsi="Muli"/>
        </w:rPr>
        <w:t xml:space="preserve">ante </w:t>
      </w:r>
      <w:r>
        <w:rPr>
          <w:rFonts w:ascii="Muli" w:hAnsi="Muli"/>
        </w:rPr>
        <w:t>el efecto arrastre del impacto bélico en los precios de la energía</w:t>
      </w:r>
      <w:r>
        <w:rPr>
          <w:rFonts w:ascii="Muli" w:hAnsi="Muli"/>
        </w:rPr>
        <w:t xml:space="preserve">. El PIB de la eurozona sufría el pasado mes de mayo su primera caída desde el año 2022 al retroceder un 0,2% en el primer trimestre del año. La crisis energética se refleja en que la inflación de la eurozona alcanzó el 3,2% en el mes de mayo y las proyecciones esperan que la tendencia sea alcista el resto del año. El contexto, sin embargo, no es equiparable por el momento al de la guerra en Ucrania de 2022, sino que el movimiento del BCE estaría más cerca de evitar una situación inflacionista como la de entonces. </w:t>
      </w:r>
    </w:p>
    <w:p w14:paraId="0993D59A" w14:textId="79B98567" w:rsidR="00AE2CAC" w:rsidRDefault="00AE2CAC" w:rsidP="00AE2CAC">
      <w:pPr>
        <w:pStyle w:val="paragraph"/>
        <w:spacing w:before="240"/>
        <w:jc w:val="both"/>
        <w:textAlignment w:val="baseline"/>
        <w:rPr>
          <w:rFonts w:ascii="Muli" w:hAnsi="Muli"/>
        </w:rPr>
      </w:pPr>
      <w:r w:rsidRPr="00993AD7">
        <w:rPr>
          <w:rFonts w:ascii="Muli" w:hAnsi="Muli"/>
        </w:rPr>
        <w:t>¿Cómo afecta est</w:t>
      </w:r>
      <w:r>
        <w:rPr>
          <w:rFonts w:ascii="Muli" w:hAnsi="Muli"/>
        </w:rPr>
        <w:t xml:space="preserve">e escenario </w:t>
      </w:r>
      <w:r w:rsidRPr="00993AD7">
        <w:rPr>
          <w:rFonts w:ascii="Muli" w:hAnsi="Muli"/>
        </w:rPr>
        <w:t xml:space="preserve">al mercado hipotecario? </w:t>
      </w:r>
      <w:r>
        <w:rPr>
          <w:rFonts w:ascii="Muli" w:hAnsi="Muli"/>
        </w:rPr>
        <w:t xml:space="preserve">El Euríbor, que arrastra subidas desde el mes de enero por el conflicto iraní, ya descuenta la previsible decisión del BCE. Este pasado martes el dato del Euríbor alcanzó el 2,866%, una subida de 0,050 puntos respecto al día anterior, lo que sitúa la media de junio en el 2,818% y que podría cerrar el mes en torno al 2,8% o 2,9%. Este comportamiento se traduce en que los hogares que revisen su hipoteca variable respecto a junio del año pasado –cuando el Euríbor se encontraba en el 2,081%– podrán ver cómo sus cuotas aumentan. Este cambio de expectativas sobre la política monetaria puede provocar que algunas entidades revisen sus ofertas comerciales al alza para evitar una pérdida de competitividad, aunque no supondrá un problema grave para el mercado hipotecario, dado que el ánimo general de las entidades no es el de trasladar la subida a decisiones agresivas respecto a los usuarios. Además, esta subida se produce a las puertas de los meses de verano, momento en el que se frenan el volumen de firmas hipotecarias. </w:t>
      </w:r>
    </w:p>
    <w:p w14:paraId="31CE9B63" w14:textId="354FCD61" w:rsidR="00AE2CAC" w:rsidRDefault="00AE2CAC" w:rsidP="00AE2CAC">
      <w:pPr>
        <w:pStyle w:val="paragraph"/>
        <w:spacing w:before="240"/>
        <w:jc w:val="both"/>
        <w:textAlignment w:val="baseline"/>
        <w:rPr>
          <w:rFonts w:ascii="Muli" w:hAnsi="Muli"/>
        </w:rPr>
      </w:pPr>
      <w:r>
        <w:rPr>
          <w:rFonts w:ascii="Muli" w:hAnsi="Muli"/>
        </w:rPr>
        <w:t xml:space="preserve">Habrá que esperar por tanto al mes de septiembre para observar cómo responde el mercado hipotecario a la decisión del BCE y a las presiones inflacionistas. Algunos analistas prevén como máximo dos subidas de tipos más durante el año 2026, aunque también se muestran cautelosos respecto a cómo el contexto económico y geopolítico pueda influir en las próximas decisiones. El mensaje del BCE seguirá siendo previsiblemente moderado, a la espera de cómo evolucionen los precios energéticos. </w:t>
      </w:r>
    </w:p>
    <w:p w14:paraId="20D4C5D3" w14:textId="77777777" w:rsidR="004036E1" w:rsidRPr="005C61A7" w:rsidRDefault="004036E1" w:rsidP="004036E1">
      <w:pPr>
        <w:pStyle w:val="paragraph"/>
        <w:spacing w:before="240"/>
        <w:textAlignment w:val="baseline"/>
        <w:rPr>
          <w:rStyle w:val="contentpasted0"/>
          <w:rFonts w:ascii="Muli" w:hAnsi="Muli"/>
        </w:rPr>
      </w:pPr>
      <w:r>
        <w:rPr>
          <w:rStyle w:val="contentpasted0"/>
          <w:rFonts w:ascii="Muli" w:hAnsi="Muli"/>
          <w:color w:val="000000"/>
          <w:u w:val="single"/>
        </w:rPr>
        <w:lastRenderedPageBreak/>
        <w:t xml:space="preserve">Laura Martínez, portavoz de </w:t>
      </w:r>
      <w:proofErr w:type="spellStart"/>
      <w:r>
        <w:rPr>
          <w:rStyle w:val="contentpasted0"/>
          <w:rFonts w:ascii="Muli" w:hAnsi="Muli"/>
          <w:color w:val="000000"/>
          <w:u w:val="single"/>
        </w:rPr>
        <w:t>iAhorro</w:t>
      </w:r>
      <w:proofErr w:type="spellEnd"/>
      <w:r>
        <w:rPr>
          <w:rStyle w:val="contentpasted0"/>
          <w:rFonts w:ascii="Muli" w:hAnsi="Muli"/>
          <w:color w:val="000000"/>
          <w:u w:val="single"/>
        </w:rPr>
        <w:t>.</w:t>
      </w:r>
    </w:p>
    <w:p w14:paraId="1DB5E1DB" w14:textId="77777777" w:rsidR="004036E1" w:rsidRPr="000B5564" w:rsidRDefault="004036E1" w:rsidP="004036E1">
      <w:pPr>
        <w:rPr>
          <w:rStyle w:val="contentpasted0"/>
          <w:rFonts w:ascii="Muli" w:hAnsi="Muli"/>
          <w:color w:val="000000"/>
          <w:sz w:val="24"/>
          <w:szCs w:val="24"/>
          <w:u w:val="single"/>
        </w:rPr>
      </w:pPr>
    </w:p>
    <w:p w14:paraId="65A65CDB" w14:textId="77777777" w:rsidR="004036E1" w:rsidRDefault="004036E1" w:rsidP="004036E1">
      <w:pPr>
        <w:rPr>
          <w:rStyle w:val="contentpasted0"/>
          <w:rFonts w:ascii="Muli" w:hAnsi="Muli"/>
          <w:i/>
          <w:iCs/>
          <w:color w:val="000000"/>
          <w:u w:val="single"/>
        </w:rPr>
      </w:pPr>
    </w:p>
    <w:p w14:paraId="3A4536A5" w14:textId="77777777" w:rsidR="004036E1" w:rsidRDefault="004036E1" w:rsidP="004036E1">
      <w:pPr>
        <w:spacing w:after="160"/>
        <w:rPr>
          <w:rStyle w:val="contentpasted0"/>
          <w:rFonts w:ascii="Muli" w:hAnsi="Muli"/>
          <w:color w:val="000000"/>
          <w:sz w:val="24"/>
          <w:szCs w:val="24"/>
          <w:lang w:val="es-ES_tradnl"/>
        </w:rPr>
      </w:pPr>
      <w:r>
        <w:rPr>
          <w:rStyle w:val="contentpasted0"/>
          <w:rFonts w:ascii="Muli" w:hAnsi="Muli"/>
          <w:b/>
          <w:bCs/>
          <w:color w:val="243962"/>
          <w:sz w:val="24"/>
          <w:szCs w:val="24"/>
          <w:lang w:val="es-ES_tradnl"/>
        </w:rPr>
        <w:t xml:space="preserve">Si necesita más información o declaraciones en formato audiovisual: </w:t>
      </w:r>
      <w:r>
        <w:rPr>
          <w:rStyle w:val="contentpasted0"/>
          <w:rFonts w:ascii="Muli" w:hAnsi="Muli"/>
          <w:color w:val="000000"/>
          <w:sz w:val="24"/>
          <w:szCs w:val="24"/>
          <w:lang w:val="es-ES_tradnl"/>
        </w:rPr>
        <w:t>Póngase en contacto con el departamento de Comunicación. </w:t>
      </w:r>
    </w:p>
    <w:tbl>
      <w:tblPr>
        <w:tblW w:w="7092" w:type="dxa"/>
        <w:tblCellMar>
          <w:left w:w="0" w:type="dxa"/>
          <w:right w:w="0" w:type="dxa"/>
        </w:tblCellMar>
        <w:tblLook w:val="04A0" w:firstRow="1" w:lastRow="0" w:firstColumn="1" w:lastColumn="0" w:noHBand="0" w:noVBand="1"/>
      </w:tblPr>
      <w:tblGrid>
        <w:gridCol w:w="2016"/>
        <w:gridCol w:w="2547"/>
        <w:gridCol w:w="2529"/>
      </w:tblGrid>
      <w:tr w:rsidR="004036E1" w:rsidRPr="00AF342D" w14:paraId="794B4728" w14:textId="77777777" w:rsidTr="00E31F6E">
        <w:trPr>
          <w:trHeight w:val="132"/>
        </w:trPr>
        <w:tc>
          <w:tcPr>
            <w:tcW w:w="1980" w:type="dxa"/>
            <w:tcMar>
              <w:top w:w="0" w:type="dxa"/>
              <w:left w:w="108" w:type="dxa"/>
              <w:bottom w:w="0" w:type="dxa"/>
              <w:right w:w="108" w:type="dxa"/>
            </w:tcMar>
            <w:vAlign w:val="center"/>
            <w:hideMark/>
          </w:tcPr>
          <w:p w14:paraId="0C4E1FCD" w14:textId="77777777" w:rsidR="004036E1" w:rsidRDefault="004036E1" w:rsidP="00E31F6E">
            <w:pPr>
              <w:pStyle w:val="Piedepgina"/>
              <w:spacing w:line="252" w:lineRule="auto"/>
              <w:rPr>
                <w:rFonts w:ascii="Aptos" w:hAnsi="Aptos" w:cs="Aptos"/>
                <w:b/>
                <w:bCs/>
                <w:sz w:val="18"/>
                <w:szCs w:val="18"/>
              </w:rPr>
            </w:pPr>
            <w:r>
              <w:rPr>
                <w:noProof/>
              </w:rPr>
              <w:drawing>
                <wp:inline distT="0" distB="0" distL="0" distR="0" wp14:anchorId="00D3D4CF" wp14:editId="5997BA47">
                  <wp:extent cx="1143000" cy="565999"/>
                  <wp:effectExtent l="0" t="0" r="0" b="0"/>
                  <wp:docPr id="1332602733"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4">
                            <a:extLst>
                              <a:ext uri="{28A0092B-C50C-407E-A947-70E740481C1C}">
                                <a14:useLocalDpi xmlns:a14="http://schemas.microsoft.com/office/drawing/2010/main" val="0"/>
                              </a:ext>
                            </a:extLst>
                          </a:blip>
                          <a:stretch>
                            <a:fillRect/>
                          </a:stretch>
                        </pic:blipFill>
                        <pic:spPr>
                          <a:xfrm>
                            <a:off x="0" y="0"/>
                            <a:ext cx="1148384" cy="568665"/>
                          </a:xfrm>
                          <a:prstGeom prst="rect">
                            <a:avLst/>
                          </a:prstGeom>
                        </pic:spPr>
                      </pic:pic>
                    </a:graphicData>
                  </a:graphic>
                </wp:inline>
              </w:drawing>
            </w:r>
          </w:p>
        </w:tc>
        <w:tc>
          <w:tcPr>
            <w:tcW w:w="2556" w:type="dxa"/>
            <w:tcMar>
              <w:top w:w="0" w:type="dxa"/>
              <w:left w:w="108" w:type="dxa"/>
              <w:bottom w:w="0" w:type="dxa"/>
              <w:right w:w="108" w:type="dxa"/>
            </w:tcMar>
            <w:vAlign w:val="center"/>
          </w:tcPr>
          <w:p w14:paraId="2C26B65E" w14:textId="77777777" w:rsidR="004036E1" w:rsidRDefault="004036E1" w:rsidP="00E31F6E">
            <w:pPr>
              <w:pStyle w:val="Piedepgina"/>
              <w:spacing w:line="252" w:lineRule="auto"/>
              <w:jc w:val="center"/>
              <w:rPr>
                <w:b/>
                <w:bCs/>
                <w:sz w:val="18"/>
                <w:szCs w:val="18"/>
              </w:rPr>
            </w:pPr>
          </w:p>
          <w:p w14:paraId="642F0525" w14:textId="77777777" w:rsidR="004036E1" w:rsidRDefault="004036E1" w:rsidP="00E31F6E">
            <w:pPr>
              <w:pStyle w:val="Piedepgina"/>
              <w:spacing w:line="252" w:lineRule="auto"/>
              <w:jc w:val="center"/>
              <w:rPr>
                <w:b/>
                <w:bCs/>
                <w:sz w:val="18"/>
                <w:szCs w:val="18"/>
              </w:rPr>
            </w:pPr>
          </w:p>
          <w:p w14:paraId="7AE543D7" w14:textId="77777777" w:rsidR="004036E1" w:rsidRDefault="004036E1" w:rsidP="00E31F6E">
            <w:pPr>
              <w:pStyle w:val="Piedepgina"/>
              <w:spacing w:line="252" w:lineRule="auto"/>
              <w:jc w:val="center"/>
              <w:rPr>
                <w:sz w:val="18"/>
                <w:szCs w:val="18"/>
              </w:rPr>
            </w:pPr>
            <w:r>
              <w:rPr>
                <w:b/>
                <w:bCs/>
                <w:sz w:val="18"/>
                <w:szCs w:val="18"/>
              </w:rPr>
              <w:t>Laura Martínez</w:t>
            </w:r>
            <w:r>
              <w:rPr>
                <w:sz w:val="18"/>
                <w:szCs w:val="18"/>
              </w:rPr>
              <w:t xml:space="preserve"> – 686 688 757</w:t>
            </w:r>
            <w:r>
              <w:rPr>
                <w:sz w:val="18"/>
                <w:szCs w:val="18"/>
              </w:rPr>
              <w:br/>
            </w:r>
            <w:hyperlink r:id="rId5" w:history="1">
              <w:r w:rsidRPr="009D144E">
                <w:rPr>
                  <w:rStyle w:val="Hipervnculo"/>
                  <w:sz w:val="18"/>
                  <w:szCs w:val="18"/>
                </w:rPr>
                <w:t>laura.martinez@iahorro.com</w:t>
              </w:r>
            </w:hyperlink>
          </w:p>
          <w:p w14:paraId="4868826C" w14:textId="77777777" w:rsidR="004036E1" w:rsidRDefault="004036E1" w:rsidP="00E31F6E">
            <w:pPr>
              <w:pStyle w:val="Piedepgina"/>
              <w:spacing w:line="252" w:lineRule="auto"/>
              <w:jc w:val="center"/>
              <w:rPr>
                <w:b/>
                <w:bCs/>
                <w:sz w:val="18"/>
                <w:szCs w:val="18"/>
                <w:lang w:val="pt-PT"/>
              </w:rPr>
            </w:pPr>
          </w:p>
          <w:p w14:paraId="6C6031B0" w14:textId="77777777" w:rsidR="004036E1" w:rsidRDefault="004036E1" w:rsidP="00E31F6E">
            <w:pPr>
              <w:pStyle w:val="Piedepgina"/>
              <w:spacing w:line="252" w:lineRule="auto"/>
              <w:jc w:val="center"/>
              <w:rPr>
                <w:b/>
                <w:bCs/>
                <w:sz w:val="18"/>
                <w:szCs w:val="18"/>
                <w:lang w:val="pt-PT"/>
              </w:rPr>
            </w:pPr>
          </w:p>
        </w:tc>
        <w:tc>
          <w:tcPr>
            <w:tcW w:w="2556" w:type="dxa"/>
            <w:tcMar>
              <w:top w:w="0" w:type="dxa"/>
              <w:left w:w="108" w:type="dxa"/>
              <w:bottom w:w="0" w:type="dxa"/>
              <w:right w:w="108" w:type="dxa"/>
            </w:tcMar>
            <w:vAlign w:val="center"/>
            <w:hideMark/>
          </w:tcPr>
          <w:p w14:paraId="415F1F94" w14:textId="77777777" w:rsidR="004036E1" w:rsidRDefault="004036E1" w:rsidP="00E31F6E">
            <w:pPr>
              <w:pStyle w:val="Piedepgina"/>
              <w:spacing w:line="252" w:lineRule="auto"/>
              <w:rPr>
                <w:b/>
                <w:bCs/>
                <w:sz w:val="18"/>
                <w:szCs w:val="18"/>
                <w:lang w:val="pt-PT"/>
              </w:rPr>
            </w:pPr>
            <w:proofErr w:type="spellStart"/>
            <w:r>
              <w:rPr>
                <w:b/>
                <w:bCs/>
                <w:sz w:val="18"/>
                <w:szCs w:val="18"/>
                <w:lang w:val="pt-PT"/>
              </w:rPr>
              <w:t>Noelia</w:t>
            </w:r>
            <w:proofErr w:type="spellEnd"/>
            <w:r>
              <w:rPr>
                <w:b/>
                <w:bCs/>
                <w:sz w:val="18"/>
                <w:szCs w:val="18"/>
                <w:lang w:val="pt-PT"/>
              </w:rPr>
              <w:t xml:space="preserve"> Pérez</w:t>
            </w:r>
            <w:r>
              <w:rPr>
                <w:sz w:val="18"/>
                <w:szCs w:val="18"/>
                <w:lang w:val="pt-PT"/>
              </w:rPr>
              <w:t xml:space="preserve"> – 653 247 167</w:t>
            </w:r>
            <w:r>
              <w:rPr>
                <w:sz w:val="18"/>
                <w:szCs w:val="18"/>
                <w:lang w:val="pt-PT"/>
              </w:rPr>
              <w:br/>
            </w:r>
            <w:hyperlink r:id="rId6" w:history="1">
              <w:r>
                <w:rPr>
                  <w:rStyle w:val="Hipervnculo"/>
                  <w:sz w:val="18"/>
                  <w:szCs w:val="18"/>
                  <w:lang w:val="pt-PT"/>
                </w:rPr>
                <w:t>noelia.perez@iahorro.com</w:t>
              </w:r>
            </w:hyperlink>
          </w:p>
        </w:tc>
      </w:tr>
    </w:tbl>
    <w:p w14:paraId="57F5B3EE" w14:textId="77777777" w:rsidR="004036E1" w:rsidRDefault="004036E1" w:rsidP="004036E1"/>
    <w:p w14:paraId="0804889B" w14:textId="77777777" w:rsidR="004036E1" w:rsidRDefault="004036E1" w:rsidP="004036E1"/>
    <w:p w14:paraId="30F95F4D" w14:textId="77777777" w:rsidR="004036E1" w:rsidRDefault="004036E1" w:rsidP="004036E1"/>
    <w:p w14:paraId="69C9E144" w14:textId="77777777" w:rsidR="004036E1" w:rsidRDefault="004036E1" w:rsidP="004036E1"/>
    <w:p w14:paraId="7934C2E0" w14:textId="77777777" w:rsidR="00A07969" w:rsidRDefault="00A07969"/>
    <w:sectPr w:rsidR="00A07969" w:rsidSect="004036E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uli">
    <w:altName w:val="Calibri"/>
    <w:panose1 w:val="020B0604020202020204"/>
    <w:charset w:val="00"/>
    <w:family w:val="auto"/>
    <w:pitch w:val="variable"/>
    <w:sig w:usb0="A00000FF" w:usb1="5000204B" w:usb2="00000000" w:usb3="00000000" w:csb0="00000193" w:csb1="00000000"/>
  </w:font>
  <w:font w:name="Montserrat">
    <w:panose1 w:val="00000500000000000000"/>
    <w:charset w:val="4D"/>
    <w:family w:val="auto"/>
    <w:notTrueType/>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6E1"/>
    <w:rsid w:val="00073C55"/>
    <w:rsid w:val="000C312F"/>
    <w:rsid w:val="002702F0"/>
    <w:rsid w:val="004036E1"/>
    <w:rsid w:val="00435CE1"/>
    <w:rsid w:val="00542EEA"/>
    <w:rsid w:val="00A07969"/>
    <w:rsid w:val="00AE2CA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71AC2E96"/>
  <w15:chartTrackingRefBased/>
  <w15:docId w15:val="{889EFFE1-E40E-4B44-8CE3-4CEB5E299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4036E1"/>
    <w:pPr>
      <w:spacing w:after="0" w:line="240" w:lineRule="auto"/>
    </w:pPr>
    <w:rPr>
      <w:rFonts w:ascii="Calibri" w:hAnsi="Calibri" w:cs="Calibri"/>
      <w:kern w:val="0"/>
      <w:sz w:val="22"/>
      <w:szCs w:val="22"/>
    </w:rPr>
  </w:style>
  <w:style w:type="paragraph" w:styleId="Ttulo1">
    <w:name w:val="heading 1"/>
    <w:basedOn w:val="Normal"/>
    <w:next w:val="Normal"/>
    <w:link w:val="Ttulo1Car"/>
    <w:uiPriority w:val="9"/>
    <w:qFormat/>
    <w:rsid w:val="004036E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Ttulo2">
    <w:name w:val="heading 2"/>
    <w:basedOn w:val="Normal"/>
    <w:next w:val="Normal"/>
    <w:link w:val="Ttulo2Car"/>
    <w:uiPriority w:val="9"/>
    <w:semiHidden/>
    <w:unhideWhenUsed/>
    <w:qFormat/>
    <w:rsid w:val="004036E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Ttulo3">
    <w:name w:val="heading 3"/>
    <w:basedOn w:val="Normal"/>
    <w:next w:val="Normal"/>
    <w:link w:val="Ttulo3Car"/>
    <w:uiPriority w:val="9"/>
    <w:semiHidden/>
    <w:unhideWhenUsed/>
    <w:qFormat/>
    <w:rsid w:val="004036E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Ttulo4">
    <w:name w:val="heading 4"/>
    <w:basedOn w:val="Normal"/>
    <w:next w:val="Normal"/>
    <w:link w:val="Ttulo4Car"/>
    <w:uiPriority w:val="9"/>
    <w:semiHidden/>
    <w:unhideWhenUsed/>
    <w:qFormat/>
    <w:rsid w:val="004036E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rPr>
  </w:style>
  <w:style w:type="paragraph" w:styleId="Ttulo5">
    <w:name w:val="heading 5"/>
    <w:basedOn w:val="Normal"/>
    <w:next w:val="Normal"/>
    <w:link w:val="Ttulo5Car"/>
    <w:uiPriority w:val="9"/>
    <w:semiHidden/>
    <w:unhideWhenUsed/>
    <w:qFormat/>
    <w:rsid w:val="004036E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rPr>
  </w:style>
  <w:style w:type="paragraph" w:styleId="Ttulo6">
    <w:name w:val="heading 6"/>
    <w:basedOn w:val="Normal"/>
    <w:next w:val="Normal"/>
    <w:link w:val="Ttulo6Car"/>
    <w:uiPriority w:val="9"/>
    <w:semiHidden/>
    <w:unhideWhenUsed/>
    <w:qFormat/>
    <w:rsid w:val="004036E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rPr>
  </w:style>
  <w:style w:type="paragraph" w:styleId="Ttulo7">
    <w:name w:val="heading 7"/>
    <w:basedOn w:val="Normal"/>
    <w:next w:val="Normal"/>
    <w:link w:val="Ttulo7Car"/>
    <w:uiPriority w:val="9"/>
    <w:semiHidden/>
    <w:unhideWhenUsed/>
    <w:qFormat/>
    <w:rsid w:val="004036E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rPr>
  </w:style>
  <w:style w:type="paragraph" w:styleId="Ttulo8">
    <w:name w:val="heading 8"/>
    <w:basedOn w:val="Normal"/>
    <w:next w:val="Normal"/>
    <w:link w:val="Ttulo8Car"/>
    <w:uiPriority w:val="9"/>
    <w:semiHidden/>
    <w:unhideWhenUsed/>
    <w:qFormat/>
    <w:rsid w:val="004036E1"/>
    <w:pPr>
      <w:keepNext/>
      <w:keepLines/>
      <w:spacing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Ttulo9">
    <w:name w:val="heading 9"/>
    <w:basedOn w:val="Normal"/>
    <w:next w:val="Normal"/>
    <w:link w:val="Ttulo9Car"/>
    <w:uiPriority w:val="9"/>
    <w:semiHidden/>
    <w:unhideWhenUsed/>
    <w:qFormat/>
    <w:rsid w:val="004036E1"/>
    <w:pPr>
      <w:keepNext/>
      <w:keepLines/>
      <w:spacing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036E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036E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036E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036E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036E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036E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036E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036E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036E1"/>
    <w:rPr>
      <w:rFonts w:eastAsiaTheme="majorEastAsia" w:cstheme="majorBidi"/>
      <w:color w:val="272727" w:themeColor="text1" w:themeTint="D8"/>
    </w:rPr>
  </w:style>
  <w:style w:type="paragraph" w:styleId="Ttulo">
    <w:name w:val="Title"/>
    <w:basedOn w:val="Normal"/>
    <w:next w:val="Normal"/>
    <w:link w:val="TtuloCar"/>
    <w:uiPriority w:val="10"/>
    <w:qFormat/>
    <w:rsid w:val="004036E1"/>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036E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036E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tuloCar">
    <w:name w:val="Subtítulo Car"/>
    <w:basedOn w:val="Fuentedeprrafopredeter"/>
    <w:link w:val="Subttulo"/>
    <w:uiPriority w:val="11"/>
    <w:rsid w:val="004036E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036E1"/>
    <w:pPr>
      <w:spacing w:before="160" w:after="160" w:line="278" w:lineRule="auto"/>
      <w:jc w:val="center"/>
    </w:pPr>
    <w:rPr>
      <w:rFonts w:asciiTheme="minorHAnsi" w:hAnsiTheme="minorHAnsi" w:cstheme="minorBidi"/>
      <w:i/>
      <w:iCs/>
      <w:color w:val="404040" w:themeColor="text1" w:themeTint="BF"/>
      <w:kern w:val="2"/>
      <w:sz w:val="24"/>
      <w:szCs w:val="24"/>
    </w:rPr>
  </w:style>
  <w:style w:type="character" w:customStyle="1" w:styleId="CitaCar">
    <w:name w:val="Cita Car"/>
    <w:basedOn w:val="Fuentedeprrafopredeter"/>
    <w:link w:val="Cita"/>
    <w:uiPriority w:val="29"/>
    <w:rsid w:val="004036E1"/>
    <w:rPr>
      <w:i/>
      <w:iCs/>
      <w:color w:val="404040" w:themeColor="text1" w:themeTint="BF"/>
    </w:rPr>
  </w:style>
  <w:style w:type="paragraph" w:styleId="Prrafodelista">
    <w:name w:val="List Paragraph"/>
    <w:basedOn w:val="Normal"/>
    <w:uiPriority w:val="34"/>
    <w:qFormat/>
    <w:rsid w:val="004036E1"/>
    <w:pPr>
      <w:spacing w:after="160" w:line="278" w:lineRule="auto"/>
      <w:ind w:left="720"/>
      <w:contextualSpacing/>
    </w:pPr>
    <w:rPr>
      <w:rFonts w:asciiTheme="minorHAnsi" w:hAnsiTheme="minorHAnsi" w:cstheme="minorBidi"/>
      <w:kern w:val="2"/>
      <w:sz w:val="24"/>
      <w:szCs w:val="24"/>
    </w:rPr>
  </w:style>
  <w:style w:type="character" w:styleId="nfasisintenso">
    <w:name w:val="Intense Emphasis"/>
    <w:basedOn w:val="Fuentedeprrafopredeter"/>
    <w:uiPriority w:val="21"/>
    <w:qFormat/>
    <w:rsid w:val="004036E1"/>
    <w:rPr>
      <w:i/>
      <w:iCs/>
      <w:color w:val="0F4761" w:themeColor="accent1" w:themeShade="BF"/>
    </w:rPr>
  </w:style>
  <w:style w:type="paragraph" w:styleId="Citadestacada">
    <w:name w:val="Intense Quote"/>
    <w:basedOn w:val="Normal"/>
    <w:next w:val="Normal"/>
    <w:link w:val="CitadestacadaCar"/>
    <w:uiPriority w:val="30"/>
    <w:qFormat/>
    <w:rsid w:val="004036E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rPr>
  </w:style>
  <w:style w:type="character" w:customStyle="1" w:styleId="CitadestacadaCar">
    <w:name w:val="Cita destacada Car"/>
    <w:basedOn w:val="Fuentedeprrafopredeter"/>
    <w:link w:val="Citadestacada"/>
    <w:uiPriority w:val="30"/>
    <w:rsid w:val="004036E1"/>
    <w:rPr>
      <w:i/>
      <w:iCs/>
      <w:color w:val="0F4761" w:themeColor="accent1" w:themeShade="BF"/>
    </w:rPr>
  </w:style>
  <w:style w:type="character" w:styleId="Referenciaintensa">
    <w:name w:val="Intense Reference"/>
    <w:basedOn w:val="Fuentedeprrafopredeter"/>
    <w:uiPriority w:val="32"/>
    <w:qFormat/>
    <w:rsid w:val="004036E1"/>
    <w:rPr>
      <w:b/>
      <w:bCs/>
      <w:smallCaps/>
      <w:color w:val="0F4761" w:themeColor="accent1" w:themeShade="BF"/>
      <w:spacing w:val="5"/>
    </w:rPr>
  </w:style>
  <w:style w:type="character" w:customStyle="1" w:styleId="contentpasted0">
    <w:name w:val="contentpasted0"/>
    <w:basedOn w:val="Fuentedeprrafopredeter"/>
    <w:rsid w:val="004036E1"/>
  </w:style>
  <w:style w:type="paragraph" w:customStyle="1" w:styleId="xmsonormal">
    <w:name w:val="x_msonormal"/>
    <w:basedOn w:val="Normal"/>
    <w:uiPriority w:val="99"/>
    <w:rsid w:val="004036E1"/>
    <w:rPr>
      <w:lang w:eastAsia="es-ES"/>
      <w14:ligatures w14:val="none"/>
    </w:rPr>
  </w:style>
  <w:style w:type="paragraph" w:customStyle="1" w:styleId="paragraph">
    <w:name w:val="paragraph"/>
    <w:basedOn w:val="Normal"/>
    <w:rsid w:val="004036E1"/>
    <w:pPr>
      <w:spacing w:before="100" w:beforeAutospacing="1" w:after="100" w:afterAutospacing="1"/>
    </w:pPr>
    <w:rPr>
      <w:rFonts w:ascii="Times New Roman" w:hAnsi="Times New Roman" w:cs="Times New Roman"/>
      <w:sz w:val="24"/>
      <w:szCs w:val="24"/>
      <w:lang w:eastAsia="es-ES"/>
      <w14:ligatures w14:val="none"/>
    </w:rPr>
  </w:style>
  <w:style w:type="paragraph" w:styleId="Piedepgina">
    <w:name w:val="footer"/>
    <w:basedOn w:val="Normal"/>
    <w:link w:val="PiedepginaCar"/>
    <w:uiPriority w:val="99"/>
    <w:unhideWhenUsed/>
    <w:rsid w:val="004036E1"/>
    <w:pPr>
      <w:tabs>
        <w:tab w:val="center" w:pos="4252"/>
        <w:tab w:val="right" w:pos="8504"/>
      </w:tabs>
    </w:pPr>
    <w:rPr>
      <w:rFonts w:asciiTheme="minorHAnsi" w:hAnsiTheme="minorHAnsi" w:cstheme="minorBidi"/>
      <w14:ligatures w14:val="none"/>
    </w:rPr>
  </w:style>
  <w:style w:type="character" w:customStyle="1" w:styleId="PiedepginaCar">
    <w:name w:val="Pie de página Car"/>
    <w:basedOn w:val="Fuentedeprrafopredeter"/>
    <w:link w:val="Piedepgina"/>
    <w:uiPriority w:val="99"/>
    <w:rsid w:val="004036E1"/>
    <w:rPr>
      <w:kern w:val="0"/>
      <w:sz w:val="22"/>
      <w:szCs w:val="22"/>
      <w14:ligatures w14:val="none"/>
    </w:rPr>
  </w:style>
  <w:style w:type="character" w:styleId="Hipervnculo">
    <w:name w:val="Hyperlink"/>
    <w:basedOn w:val="Fuentedeprrafopredeter"/>
    <w:uiPriority w:val="99"/>
    <w:unhideWhenUsed/>
    <w:rsid w:val="004036E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oelia.perez@iahorro.com" TargetMode="External"/><Relationship Id="rId5" Type="http://schemas.openxmlformats.org/officeDocument/2006/relationships/hyperlink" Target="mailto:laura.martinez@iahorro.com"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535</Words>
  <Characters>2943</Characters>
  <Application>Microsoft Office Word</Application>
  <DocSecurity>0</DocSecurity>
  <Lines>24</Lines>
  <Paragraphs>6</Paragraphs>
  <ScaleCrop>false</ScaleCrop>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García Bruno</dc:creator>
  <cp:keywords/>
  <dc:description/>
  <cp:lastModifiedBy>Marta García Bruno</cp:lastModifiedBy>
  <cp:revision>2</cp:revision>
  <dcterms:created xsi:type="dcterms:W3CDTF">2026-06-09T16:13:00Z</dcterms:created>
  <dcterms:modified xsi:type="dcterms:W3CDTF">2026-06-09T16:13:00Z</dcterms:modified>
</cp:coreProperties>
</file>