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D45A619" w14:textId="77777777" w:rsidR="00CC40F5" w:rsidRDefault="00CC40F5" w:rsidP="00CC40F5">
      <w:pPr>
        <w:spacing w:after="160"/>
        <w:jc w:val="center"/>
        <w:rPr>
          <w:rFonts w:ascii="Times New Roman" w:hAnsi="Times New Roman" w:cs="Times New Roman"/>
          <w:color w:val="000000"/>
          <w:sz w:val="24"/>
          <w:szCs w:val="24"/>
        </w:rPr>
      </w:pPr>
      <w:r>
        <w:rPr>
          <w:rStyle w:val="contentpasted0"/>
          <w:rFonts w:ascii="Muli" w:hAnsi="Muli"/>
          <w:b/>
          <w:bCs/>
          <w:color w:val="000000"/>
          <w:sz w:val="24"/>
          <w:szCs w:val="24"/>
        </w:rPr>
        <w:t>Análisis de la decisión del BCE, por Simone Colombelli </w:t>
      </w:r>
    </w:p>
    <w:p w14:paraId="5401F89A" w14:textId="76C670A4" w:rsidR="00CC40F5" w:rsidRPr="00812593" w:rsidRDefault="00BF7332" w:rsidP="00CC40F5">
      <w:pPr>
        <w:pStyle w:val="xmsonormal"/>
        <w:spacing w:after="160"/>
        <w:jc w:val="center"/>
        <w:rPr>
          <w:rFonts w:ascii="Montserrat" w:hAnsi="Montserrat"/>
          <w:b/>
          <w:bCs/>
          <w:color w:val="243962"/>
          <w:sz w:val="28"/>
          <w:szCs w:val="28"/>
        </w:rPr>
      </w:pPr>
      <w:r>
        <w:rPr>
          <w:rFonts w:ascii="Montserrat" w:hAnsi="Montserrat"/>
          <w:b/>
          <w:bCs/>
          <w:color w:val="243962"/>
          <w:sz w:val="28"/>
          <w:szCs w:val="28"/>
        </w:rPr>
        <w:t>El BCE situará los tipos de interés en el 2,5%, pero no volverá a reducirlos hasta verano</w:t>
      </w:r>
    </w:p>
    <w:p w14:paraId="41CCB65E" w14:textId="77777777" w:rsidR="00CC40F5" w:rsidRDefault="00CC40F5" w:rsidP="00CC40F5">
      <w:pPr>
        <w:rPr>
          <w:rFonts w:ascii="Muli" w:hAnsi="Muli"/>
          <w:sz w:val="24"/>
          <w:szCs w:val="24"/>
        </w:rPr>
      </w:pPr>
    </w:p>
    <w:p w14:paraId="657D0E0F" w14:textId="7043D94A" w:rsidR="00CC40F5" w:rsidRPr="00AC043F" w:rsidRDefault="00CC40F5" w:rsidP="00CC40F5">
      <w:pPr>
        <w:rPr>
          <w:rFonts w:ascii="Muli" w:hAnsi="Muli"/>
          <w:sz w:val="24"/>
          <w:szCs w:val="24"/>
        </w:rPr>
      </w:pPr>
      <w:r>
        <w:rPr>
          <w:rFonts w:ascii="Muli" w:hAnsi="Muli"/>
          <w:sz w:val="24"/>
          <w:szCs w:val="24"/>
        </w:rPr>
        <w:t xml:space="preserve">Madrid, </w:t>
      </w:r>
      <w:r w:rsidR="00324EC8">
        <w:rPr>
          <w:rFonts w:ascii="Muli" w:hAnsi="Muli"/>
          <w:sz w:val="24"/>
          <w:szCs w:val="24"/>
        </w:rPr>
        <w:t>6 de marzo</w:t>
      </w:r>
      <w:r>
        <w:rPr>
          <w:rFonts w:ascii="Muli" w:hAnsi="Muli"/>
          <w:sz w:val="24"/>
          <w:szCs w:val="24"/>
        </w:rPr>
        <w:t xml:space="preserve"> de 2025</w:t>
      </w:r>
    </w:p>
    <w:p w14:paraId="76736D2F" w14:textId="6B0DE9AF" w:rsidR="00CC40F5" w:rsidRDefault="009E7BAE" w:rsidP="00CC40F5">
      <w:pPr>
        <w:pStyle w:val="paragraph"/>
        <w:spacing w:before="240"/>
        <w:textAlignment w:val="baseline"/>
        <w:rPr>
          <w:rStyle w:val="normaltextrun"/>
          <w:rFonts w:ascii="Muli" w:hAnsi="Muli"/>
        </w:rPr>
      </w:pPr>
      <w:r>
        <w:rPr>
          <w:rStyle w:val="normaltextrun"/>
          <w:rFonts w:ascii="Muli" w:hAnsi="Muli"/>
        </w:rPr>
        <w:t>“</w:t>
      </w:r>
      <w:r w:rsidR="00CC40F5" w:rsidRPr="00CC40F5">
        <w:rPr>
          <w:rStyle w:val="normaltextrun"/>
          <w:rFonts w:ascii="Muli" w:hAnsi="Muli"/>
        </w:rPr>
        <w:t xml:space="preserve">El Banco </w:t>
      </w:r>
      <w:r w:rsidR="00CC40F5">
        <w:rPr>
          <w:rStyle w:val="normaltextrun"/>
          <w:rFonts w:ascii="Muli" w:hAnsi="Muli"/>
        </w:rPr>
        <w:t>C</w:t>
      </w:r>
      <w:r w:rsidR="00CC40F5" w:rsidRPr="00CC40F5">
        <w:rPr>
          <w:rStyle w:val="normaltextrun"/>
          <w:rFonts w:ascii="Muli" w:hAnsi="Muli"/>
        </w:rPr>
        <w:t xml:space="preserve">entral </w:t>
      </w:r>
      <w:r w:rsidR="00CC40F5">
        <w:rPr>
          <w:rStyle w:val="normaltextrun"/>
          <w:rFonts w:ascii="Muli" w:hAnsi="Muli"/>
        </w:rPr>
        <w:t>E</w:t>
      </w:r>
      <w:r w:rsidR="00CC40F5" w:rsidRPr="00CC40F5">
        <w:rPr>
          <w:rStyle w:val="normaltextrun"/>
          <w:rFonts w:ascii="Muli" w:hAnsi="Muli"/>
        </w:rPr>
        <w:t xml:space="preserve">uropeo </w:t>
      </w:r>
      <w:r w:rsidR="00CC40F5">
        <w:rPr>
          <w:rStyle w:val="normaltextrun"/>
          <w:rFonts w:ascii="Muli" w:hAnsi="Muli"/>
        </w:rPr>
        <w:t xml:space="preserve">(BCE) </w:t>
      </w:r>
      <w:r w:rsidR="00CC40F5" w:rsidRPr="00CC40F5">
        <w:rPr>
          <w:rStyle w:val="normaltextrun"/>
          <w:rFonts w:ascii="Muli" w:hAnsi="Muli"/>
        </w:rPr>
        <w:t>se reúne</w:t>
      </w:r>
      <w:r w:rsidR="00CC40F5">
        <w:rPr>
          <w:rStyle w:val="normaltextrun"/>
          <w:rFonts w:ascii="Muli" w:hAnsi="Muli"/>
        </w:rPr>
        <w:t xml:space="preserve"> por segunda vez este 2025</w:t>
      </w:r>
      <w:r w:rsidR="00CC40F5" w:rsidRPr="00CC40F5">
        <w:rPr>
          <w:rStyle w:val="normaltextrun"/>
          <w:rFonts w:ascii="Muli" w:hAnsi="Muli"/>
        </w:rPr>
        <w:t xml:space="preserve"> este jueves para, probablemente, volver a reducir los tipos de interés oficiales de la eurozona otros 25 puntos b</w:t>
      </w:r>
      <w:r w:rsidR="00CC40F5">
        <w:rPr>
          <w:rStyle w:val="normaltextrun"/>
          <w:rFonts w:ascii="Muli" w:hAnsi="Muli"/>
        </w:rPr>
        <w:t>á</w:t>
      </w:r>
      <w:r w:rsidR="00CC40F5" w:rsidRPr="00CC40F5">
        <w:rPr>
          <w:rStyle w:val="normaltextrun"/>
          <w:rFonts w:ascii="Muli" w:hAnsi="Muli"/>
        </w:rPr>
        <w:t>sicos, hasta situarlos en el 2,5%.</w:t>
      </w:r>
      <w:r w:rsidR="00CC40F5">
        <w:rPr>
          <w:rStyle w:val="normaltextrun"/>
          <w:rFonts w:ascii="Muli" w:hAnsi="Muli"/>
        </w:rPr>
        <w:t xml:space="preserve"> Si así lo confirma la presidenta del organismo europeo, Christine Lagarde, l</w:t>
      </w:r>
      <w:r w:rsidR="00CC40F5" w:rsidRPr="00CC40F5">
        <w:rPr>
          <w:rStyle w:val="normaltextrun"/>
          <w:rFonts w:ascii="Muli" w:hAnsi="Muli"/>
        </w:rPr>
        <w:t xml:space="preserve">a de este mes sería la segunda bajada del año y la </w:t>
      </w:r>
      <w:r w:rsidR="00CC40F5">
        <w:rPr>
          <w:rStyle w:val="normaltextrun"/>
          <w:rFonts w:ascii="Muli" w:hAnsi="Muli"/>
        </w:rPr>
        <w:t>quinta</w:t>
      </w:r>
      <w:r w:rsidR="00CC40F5" w:rsidRPr="00CC40F5">
        <w:rPr>
          <w:rStyle w:val="normaltextrun"/>
          <w:rFonts w:ascii="Muli" w:hAnsi="Muli"/>
        </w:rPr>
        <w:t xml:space="preserve"> consecutiva, lo que </w:t>
      </w:r>
      <w:r w:rsidR="00CC40F5">
        <w:rPr>
          <w:rStyle w:val="normaltextrun"/>
          <w:rFonts w:ascii="Muli" w:hAnsi="Muli"/>
        </w:rPr>
        <w:t>da</w:t>
      </w:r>
      <w:r w:rsidR="00CC40F5" w:rsidRPr="00CC40F5">
        <w:rPr>
          <w:rStyle w:val="normaltextrun"/>
          <w:rFonts w:ascii="Muli" w:hAnsi="Muli"/>
        </w:rPr>
        <w:t xml:space="preserve"> otro empujón a la economía de la UE y, sobre todo, al mercado hipotecario.</w:t>
      </w:r>
    </w:p>
    <w:p w14:paraId="528583AB" w14:textId="5E7CC978" w:rsidR="00CC40F5" w:rsidRPr="00CC40F5" w:rsidRDefault="00CC40F5" w:rsidP="00CC40F5">
      <w:pPr>
        <w:pStyle w:val="paragraph"/>
        <w:spacing w:before="240"/>
        <w:textAlignment w:val="baseline"/>
        <w:rPr>
          <w:rStyle w:val="normaltextrun"/>
          <w:rFonts w:ascii="Muli" w:hAnsi="Muli"/>
        </w:rPr>
      </w:pPr>
      <w:r w:rsidRPr="00CC40F5">
        <w:rPr>
          <w:rStyle w:val="normaltextrun"/>
          <w:rFonts w:ascii="Muli" w:hAnsi="Muli"/>
        </w:rPr>
        <w:t xml:space="preserve">Pese a que </w:t>
      </w:r>
      <w:r>
        <w:rPr>
          <w:rStyle w:val="normaltextrun"/>
          <w:rFonts w:ascii="Muli" w:hAnsi="Muli"/>
        </w:rPr>
        <w:t xml:space="preserve">también se especulaba con la posibilidad de que el BCE mantuviera, por ahora, los tipos oficiales en el 2,75%, en las últimas semanas ha ganado fuerza la intención de bajada y, por tanto, se traslada hasta la siguiente reunión del organismo, prevista para el 17 de abril, ese parón. De esta manera, </w:t>
      </w:r>
      <w:r w:rsidR="00A21B9D">
        <w:rPr>
          <w:rStyle w:val="normaltextrun"/>
          <w:rFonts w:ascii="Muli" w:hAnsi="Muli"/>
        </w:rPr>
        <w:t>hasta</w:t>
      </w:r>
      <w:r w:rsidRPr="00CC40F5">
        <w:rPr>
          <w:rStyle w:val="normaltextrun"/>
          <w:rFonts w:ascii="Muli" w:hAnsi="Muli"/>
        </w:rPr>
        <w:t xml:space="preserve"> abril también tendremos más tiempo de analizar la tendencia de la inflación, que en febrero </w:t>
      </w:r>
      <w:r>
        <w:rPr>
          <w:rStyle w:val="normaltextrun"/>
          <w:rFonts w:ascii="Muli" w:hAnsi="Muli"/>
        </w:rPr>
        <w:t>se situó en el 2,4</w:t>
      </w:r>
      <w:r w:rsidRPr="00CC40F5">
        <w:rPr>
          <w:rStyle w:val="normaltextrun"/>
          <w:rFonts w:ascii="Muli" w:hAnsi="Muli"/>
        </w:rPr>
        <w:t>%</w:t>
      </w:r>
      <w:r>
        <w:rPr>
          <w:rStyle w:val="normaltextrun"/>
          <w:rFonts w:ascii="Muli" w:hAnsi="Muli"/>
        </w:rPr>
        <w:t xml:space="preserve"> a nivel europeo, pero en países como España subió hasta el 3%;</w:t>
      </w:r>
      <w:r w:rsidRPr="00CC40F5">
        <w:rPr>
          <w:rStyle w:val="normaltextrun"/>
          <w:rFonts w:ascii="Muli" w:hAnsi="Muli"/>
        </w:rPr>
        <w:t xml:space="preserve"> y </w:t>
      </w:r>
      <w:r>
        <w:rPr>
          <w:rStyle w:val="normaltextrun"/>
          <w:rFonts w:ascii="Muli" w:hAnsi="Muli"/>
        </w:rPr>
        <w:t xml:space="preserve">también de ver </w:t>
      </w:r>
      <w:r w:rsidRPr="00CC40F5">
        <w:rPr>
          <w:rStyle w:val="normaltextrun"/>
          <w:rFonts w:ascii="Muli" w:hAnsi="Muli"/>
        </w:rPr>
        <w:t>las consecuencias de las políticas arancelarias de Don</w:t>
      </w:r>
      <w:r>
        <w:rPr>
          <w:rStyle w:val="normaltextrun"/>
          <w:rFonts w:ascii="Muli" w:hAnsi="Muli"/>
        </w:rPr>
        <w:t>ald</w:t>
      </w:r>
      <w:r w:rsidRPr="00CC40F5">
        <w:rPr>
          <w:rStyle w:val="normaltextrun"/>
          <w:rFonts w:ascii="Muli" w:hAnsi="Muli"/>
        </w:rPr>
        <w:t xml:space="preserve"> Trump desde Estados Unidos hacia el exterior, </w:t>
      </w:r>
      <w:r>
        <w:rPr>
          <w:rStyle w:val="normaltextrun"/>
          <w:rFonts w:ascii="Muli" w:hAnsi="Muli"/>
        </w:rPr>
        <w:t>inclu</w:t>
      </w:r>
      <w:r w:rsidR="00A21B9D">
        <w:rPr>
          <w:rStyle w:val="normaltextrun"/>
          <w:rFonts w:ascii="Muli" w:hAnsi="Muli"/>
        </w:rPr>
        <w:t>id</w:t>
      </w:r>
      <w:r>
        <w:rPr>
          <w:rStyle w:val="normaltextrun"/>
          <w:rFonts w:ascii="Muli" w:hAnsi="Muli"/>
        </w:rPr>
        <w:t>a</w:t>
      </w:r>
      <w:r w:rsidRPr="00CC40F5">
        <w:rPr>
          <w:rStyle w:val="normaltextrun"/>
          <w:rFonts w:ascii="Muli" w:hAnsi="Muli"/>
        </w:rPr>
        <w:t xml:space="preserve"> Europa.</w:t>
      </w:r>
      <w:r w:rsidR="00A21B9D">
        <w:rPr>
          <w:rStyle w:val="normaltextrun"/>
          <w:rFonts w:ascii="Muli" w:hAnsi="Muli"/>
        </w:rPr>
        <w:t xml:space="preserve"> Ya en verano podríamos ver nuevas reducciones para llegar al objetivo del 2% a final de año.</w:t>
      </w:r>
    </w:p>
    <w:p w14:paraId="4B8392CF" w14:textId="1769ABF6" w:rsidR="00CC40F5" w:rsidRPr="00CC40F5" w:rsidRDefault="00CC40F5" w:rsidP="00CC40F5">
      <w:pPr>
        <w:pStyle w:val="paragraph"/>
        <w:spacing w:before="240"/>
        <w:textAlignment w:val="baseline"/>
        <w:rPr>
          <w:rStyle w:val="normaltextrun"/>
          <w:rFonts w:ascii="Muli" w:hAnsi="Muli"/>
        </w:rPr>
      </w:pPr>
      <w:r>
        <w:rPr>
          <w:rStyle w:val="normaltextrun"/>
          <w:rFonts w:ascii="Muli" w:hAnsi="Muli"/>
        </w:rPr>
        <w:t>Por tanto, s</w:t>
      </w:r>
      <w:r w:rsidRPr="00CC40F5">
        <w:rPr>
          <w:rStyle w:val="normaltextrun"/>
          <w:rFonts w:ascii="Muli" w:hAnsi="Muli"/>
        </w:rPr>
        <w:t xml:space="preserve">i las previsiones que tenemos en iAhorro se cumplen, es probable que </w:t>
      </w:r>
      <w:r>
        <w:rPr>
          <w:rStyle w:val="normaltextrun"/>
          <w:rFonts w:ascii="Muli" w:hAnsi="Muli"/>
        </w:rPr>
        <w:t>las entidades financieras</w:t>
      </w:r>
      <w:r w:rsidRPr="00CC40F5">
        <w:rPr>
          <w:rStyle w:val="normaltextrun"/>
          <w:rFonts w:ascii="Muli" w:hAnsi="Muli"/>
        </w:rPr>
        <w:t xml:space="preserve"> reduzca</w:t>
      </w:r>
      <w:r>
        <w:rPr>
          <w:rStyle w:val="normaltextrun"/>
          <w:rFonts w:ascii="Muli" w:hAnsi="Muli"/>
        </w:rPr>
        <w:t>n</w:t>
      </w:r>
      <w:r w:rsidRPr="00CC40F5">
        <w:rPr>
          <w:rStyle w:val="normaltextrun"/>
          <w:rFonts w:ascii="Muli" w:hAnsi="Muli"/>
        </w:rPr>
        <w:t xml:space="preserve"> un poco m</w:t>
      </w:r>
      <w:r>
        <w:rPr>
          <w:rStyle w:val="normaltextrun"/>
          <w:rFonts w:ascii="Muli" w:hAnsi="Muli"/>
        </w:rPr>
        <w:t>á</w:t>
      </w:r>
      <w:r w:rsidRPr="00CC40F5">
        <w:rPr>
          <w:rStyle w:val="normaltextrun"/>
          <w:rFonts w:ascii="Muli" w:hAnsi="Muli"/>
        </w:rPr>
        <w:t>s los intereses de sus hipotecas.</w:t>
      </w:r>
      <w:r>
        <w:rPr>
          <w:rStyle w:val="normaltextrun"/>
          <w:rFonts w:ascii="Muli" w:hAnsi="Muli"/>
        </w:rPr>
        <w:t xml:space="preserve"> Normalmente la banca se adelanta a las decisiones del BCE para bajar sus tipos, pero este mes, como había duda, ha preferido esperar a tener la decisión sobre la mesa. Eso sí, de bajar los tipos finalmente, la</w:t>
      </w:r>
      <w:r w:rsidRPr="00CC40F5">
        <w:rPr>
          <w:rStyle w:val="normaltextrun"/>
          <w:rFonts w:ascii="Muli" w:hAnsi="Muli"/>
        </w:rPr>
        <w:t xml:space="preserve"> reducción </w:t>
      </w:r>
      <w:r>
        <w:rPr>
          <w:rStyle w:val="normaltextrun"/>
          <w:rFonts w:ascii="Muli" w:hAnsi="Muli"/>
        </w:rPr>
        <w:t xml:space="preserve">que harán los bancos en sus ofertas </w:t>
      </w:r>
      <w:r w:rsidRPr="00CC40F5">
        <w:rPr>
          <w:rStyle w:val="normaltextrun"/>
          <w:rFonts w:ascii="Muli" w:hAnsi="Muli"/>
        </w:rPr>
        <w:t>será leve y en muchos casos apenas la notaremos porque hay productos ya muy muy competitivos en el mercado, con hipotecas fijas incluso por debajo del 2% para perfiles premium (personas muy solventes y con bajo ratio de endeudamiento).</w:t>
      </w:r>
    </w:p>
    <w:p w14:paraId="5DCFEE55" w14:textId="28F6E44A" w:rsidR="00CC40F5" w:rsidRDefault="00CC40F5" w:rsidP="00CC40F5">
      <w:pPr>
        <w:pStyle w:val="paragraph"/>
        <w:spacing w:before="240"/>
        <w:textAlignment w:val="baseline"/>
        <w:rPr>
          <w:rStyle w:val="normaltextrun"/>
          <w:rFonts w:ascii="Muli" w:hAnsi="Muli"/>
        </w:rPr>
      </w:pPr>
      <w:r w:rsidRPr="00CC40F5">
        <w:rPr>
          <w:rStyle w:val="normaltextrun"/>
          <w:rFonts w:ascii="Muli" w:hAnsi="Muli"/>
        </w:rPr>
        <w:t xml:space="preserve">¿Qué pasará en los próximos meses? </w:t>
      </w:r>
      <w:r>
        <w:rPr>
          <w:rStyle w:val="normaltextrun"/>
          <w:rFonts w:ascii="Muli" w:hAnsi="Muli"/>
        </w:rPr>
        <w:t xml:space="preserve">La tendencia más lógica, tal y como está el panorama actual, </w:t>
      </w:r>
      <w:r w:rsidRPr="00CC40F5">
        <w:rPr>
          <w:rStyle w:val="normaltextrun"/>
          <w:rFonts w:ascii="Muli" w:hAnsi="Muli"/>
        </w:rPr>
        <w:t>sería que el mercado fuera estabilizándose.</w:t>
      </w:r>
      <w:r>
        <w:rPr>
          <w:rStyle w:val="normaltextrun"/>
          <w:rFonts w:ascii="Muli" w:hAnsi="Muli"/>
        </w:rPr>
        <w:t xml:space="preserve"> Ta</w:t>
      </w:r>
      <w:r w:rsidRPr="00CC40F5">
        <w:rPr>
          <w:rStyle w:val="normaltextrun"/>
          <w:rFonts w:ascii="Muli" w:hAnsi="Muli"/>
        </w:rPr>
        <w:t xml:space="preserve">nto el euríbor como los tipos de interés han experimentado caídas considerables </w:t>
      </w:r>
      <w:r>
        <w:rPr>
          <w:rStyle w:val="normaltextrun"/>
          <w:rFonts w:ascii="Muli" w:hAnsi="Muli"/>
        </w:rPr>
        <w:t xml:space="preserve">en los últimos meses </w:t>
      </w:r>
      <w:r w:rsidRPr="00CC40F5">
        <w:rPr>
          <w:rStyle w:val="normaltextrun"/>
          <w:rFonts w:ascii="Muli" w:hAnsi="Muli"/>
        </w:rPr>
        <w:t xml:space="preserve">y es momento de </w:t>
      </w:r>
      <w:r>
        <w:rPr>
          <w:rStyle w:val="normaltextrun"/>
          <w:rFonts w:ascii="Muli" w:hAnsi="Muli"/>
        </w:rPr>
        <w:t>que su tendencia a la baja se estabilice. Eso no significa que no continúen bajando, sino que lo hagan de una forma mucho más moderada hasta llegar a los objetivos previstos. Por ejemplo, la intención del BCE es situar los tipos en el umbral del 2% este año, pero lo hará con cautela y sin precipitación para no alterar demasiado el panorama económico. Por su parte, el euríbor se sitúa en momentos de estabilidad por debajo de los tipos de interés oficiales y es probable que alcance antes ese umbral del 2% que los tipos de interés, quizás en verano</w:t>
      </w:r>
      <w:r w:rsidRPr="00CC40F5">
        <w:rPr>
          <w:rStyle w:val="normaltextrun"/>
          <w:rFonts w:ascii="Muli" w:hAnsi="Muli"/>
        </w:rPr>
        <w:t xml:space="preserve">. </w:t>
      </w:r>
      <w:r>
        <w:rPr>
          <w:rStyle w:val="normaltextrun"/>
          <w:rFonts w:ascii="Muli" w:hAnsi="Muli"/>
        </w:rPr>
        <w:lastRenderedPageBreak/>
        <w:t xml:space="preserve">Esto </w:t>
      </w:r>
      <w:r w:rsidRPr="00CC40F5">
        <w:rPr>
          <w:rStyle w:val="normaltextrun"/>
          <w:rFonts w:ascii="Muli" w:hAnsi="Muli"/>
        </w:rPr>
        <w:t>es positivo para todos los implicados: bancos y consumidores. Todos gana</w:t>
      </w:r>
      <w:r>
        <w:rPr>
          <w:rStyle w:val="normaltextrun"/>
          <w:rFonts w:ascii="Muli" w:hAnsi="Muli"/>
        </w:rPr>
        <w:t>mos</w:t>
      </w:r>
      <w:r w:rsidRPr="00CC40F5">
        <w:rPr>
          <w:rStyle w:val="normaltextrun"/>
          <w:rFonts w:ascii="Muli" w:hAnsi="Muli"/>
        </w:rPr>
        <w:t xml:space="preserve"> en este escenario y la economía no se resiente.</w:t>
      </w:r>
      <w:r w:rsidR="009E7BAE">
        <w:rPr>
          <w:rStyle w:val="normaltextrun"/>
          <w:rFonts w:ascii="Muli" w:hAnsi="Muli"/>
        </w:rPr>
        <w:t>”</w:t>
      </w:r>
    </w:p>
    <w:p w14:paraId="0CF72DB1" w14:textId="77777777" w:rsidR="00CC40F5" w:rsidRDefault="00CC40F5" w:rsidP="00CC40F5">
      <w:pPr>
        <w:rPr>
          <w:rStyle w:val="contentpasted0"/>
          <w:rFonts w:ascii="Muli" w:hAnsi="Muli"/>
          <w:i/>
          <w:iCs/>
          <w:color w:val="000000"/>
          <w:u w:val="single"/>
        </w:rPr>
      </w:pPr>
      <w:r>
        <w:rPr>
          <w:rStyle w:val="contentpasted0"/>
          <w:rFonts w:ascii="Muli" w:hAnsi="Muli"/>
          <w:color w:val="000000"/>
          <w:u w:val="single"/>
        </w:rPr>
        <w:t>Simone Colombelli, director de Hipotecas de iAhorro.</w:t>
      </w:r>
    </w:p>
    <w:p w14:paraId="01A0879E" w14:textId="77777777" w:rsidR="00CC40F5" w:rsidRDefault="00CC40F5" w:rsidP="00CC40F5">
      <w:pPr>
        <w:rPr>
          <w:rStyle w:val="contentpasted0"/>
          <w:rFonts w:ascii="Muli" w:hAnsi="Muli"/>
          <w:i/>
          <w:iCs/>
          <w:color w:val="000000"/>
          <w:u w:val="single"/>
        </w:rPr>
      </w:pPr>
    </w:p>
    <w:p w14:paraId="067F613D" w14:textId="77777777" w:rsidR="00CC40F5" w:rsidRDefault="00CC40F5" w:rsidP="00CC40F5">
      <w:pPr>
        <w:spacing w:after="160"/>
        <w:rPr>
          <w:rStyle w:val="contentpasted0"/>
          <w:rFonts w:ascii="Muli" w:hAnsi="Muli"/>
          <w:color w:val="000000"/>
          <w:sz w:val="24"/>
          <w:szCs w:val="24"/>
          <w:lang w:val="es-ES_tradnl"/>
        </w:rPr>
      </w:pPr>
      <w:r>
        <w:rPr>
          <w:rStyle w:val="contentpasted0"/>
          <w:rFonts w:ascii="Muli" w:hAnsi="Muli"/>
          <w:b/>
          <w:bCs/>
          <w:color w:val="243962"/>
          <w:sz w:val="24"/>
          <w:szCs w:val="24"/>
          <w:lang w:val="es-ES_tradnl"/>
        </w:rPr>
        <w:t xml:space="preserve">Si necesita más información o declaraciones en formato audiovisual: </w:t>
      </w:r>
      <w:r>
        <w:rPr>
          <w:rStyle w:val="contentpasted0"/>
          <w:rFonts w:ascii="Muli" w:hAnsi="Muli"/>
          <w:color w:val="000000"/>
          <w:sz w:val="24"/>
          <w:szCs w:val="24"/>
          <w:lang w:val="es-ES_tradnl"/>
        </w:rPr>
        <w:t>Póngase en contacto con el departamento de Comunicación. </w:t>
      </w:r>
    </w:p>
    <w:tbl>
      <w:tblPr>
        <w:tblW w:w="7092" w:type="dxa"/>
        <w:tblCellMar>
          <w:left w:w="0" w:type="dxa"/>
          <w:right w:w="0" w:type="dxa"/>
        </w:tblCellMar>
        <w:tblLook w:val="04A0" w:firstRow="1" w:lastRow="0" w:firstColumn="1" w:lastColumn="0" w:noHBand="0" w:noVBand="1"/>
      </w:tblPr>
      <w:tblGrid>
        <w:gridCol w:w="1980"/>
        <w:gridCol w:w="2556"/>
        <w:gridCol w:w="2556"/>
      </w:tblGrid>
      <w:tr w:rsidR="00CC40F5" w14:paraId="706DE58F" w14:textId="77777777" w:rsidTr="006754AD">
        <w:trPr>
          <w:trHeight w:val="132"/>
        </w:trPr>
        <w:tc>
          <w:tcPr>
            <w:tcW w:w="1980" w:type="dxa"/>
            <w:tcMar>
              <w:top w:w="0" w:type="dxa"/>
              <w:left w:w="108" w:type="dxa"/>
              <w:bottom w:w="0" w:type="dxa"/>
              <w:right w:w="108" w:type="dxa"/>
            </w:tcMar>
            <w:vAlign w:val="center"/>
            <w:hideMark/>
          </w:tcPr>
          <w:p w14:paraId="5FC21469" w14:textId="77777777" w:rsidR="00CC40F5" w:rsidRDefault="00CC40F5" w:rsidP="006754AD">
            <w:pPr>
              <w:pStyle w:val="Piedepgina"/>
              <w:spacing w:line="252" w:lineRule="auto"/>
              <w:rPr>
                <w:rFonts w:ascii="Aptos" w:hAnsi="Aptos" w:cs="Aptos"/>
                <w:b/>
                <w:bCs/>
                <w:sz w:val="18"/>
                <w:szCs w:val="18"/>
              </w:rPr>
            </w:pPr>
            <w:r>
              <w:rPr>
                <w:noProof/>
              </w:rPr>
              <w:drawing>
                <wp:inline distT="0" distB="0" distL="0" distR="0" wp14:anchorId="430C903E" wp14:editId="54066693">
                  <wp:extent cx="1055370" cy="522605"/>
                  <wp:effectExtent l="0" t="0" r="11430" b="10795"/>
                  <wp:docPr id="1332602733" name="Imagen 1" descr="Logotip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3" descr="Logotipo&#10;&#10;Descripción generada automáticamente"/>
                          <pic:cNvPicPr>
                            <a:picLocks noChangeAspect="1" noChangeArrowheads="1"/>
                          </pic:cNvPicPr>
                        </pic:nvPicPr>
                        <pic:blipFill>
                          <a:blip r:embed="rId5" r:link="rId6" cstate="print">
                            <a:extLst>
                              <a:ext uri="{28A0092B-C50C-407E-A947-70E740481C1C}">
                                <a14:useLocalDpi xmlns:a14="http://schemas.microsoft.com/office/drawing/2010/main" val="0"/>
                              </a:ext>
                            </a:extLst>
                          </a:blip>
                          <a:srcRect/>
                          <a:stretch>
                            <a:fillRect/>
                          </a:stretch>
                        </pic:blipFill>
                        <pic:spPr bwMode="auto">
                          <a:xfrm>
                            <a:off x="0" y="0"/>
                            <a:ext cx="1055370" cy="522605"/>
                          </a:xfrm>
                          <a:prstGeom prst="rect">
                            <a:avLst/>
                          </a:prstGeom>
                          <a:noFill/>
                          <a:ln>
                            <a:noFill/>
                          </a:ln>
                        </pic:spPr>
                      </pic:pic>
                    </a:graphicData>
                  </a:graphic>
                </wp:inline>
              </w:drawing>
            </w:r>
          </w:p>
        </w:tc>
        <w:tc>
          <w:tcPr>
            <w:tcW w:w="2556" w:type="dxa"/>
            <w:tcMar>
              <w:top w:w="0" w:type="dxa"/>
              <w:left w:w="108" w:type="dxa"/>
              <w:bottom w:w="0" w:type="dxa"/>
              <w:right w:w="108" w:type="dxa"/>
            </w:tcMar>
            <w:vAlign w:val="center"/>
          </w:tcPr>
          <w:p w14:paraId="3395EEC6" w14:textId="77777777" w:rsidR="00CC40F5" w:rsidRDefault="00CC40F5" w:rsidP="006754AD">
            <w:pPr>
              <w:pStyle w:val="Piedepgina"/>
              <w:spacing w:line="252" w:lineRule="auto"/>
              <w:jc w:val="center"/>
              <w:rPr>
                <w:b/>
                <w:bCs/>
                <w:sz w:val="18"/>
                <w:szCs w:val="18"/>
              </w:rPr>
            </w:pPr>
          </w:p>
          <w:p w14:paraId="19F5E85D" w14:textId="77777777" w:rsidR="00CC40F5" w:rsidRDefault="00CC40F5" w:rsidP="006754AD">
            <w:pPr>
              <w:pStyle w:val="Piedepgina"/>
              <w:spacing w:line="252" w:lineRule="auto"/>
              <w:jc w:val="center"/>
              <w:rPr>
                <w:b/>
                <w:bCs/>
                <w:sz w:val="18"/>
                <w:szCs w:val="18"/>
              </w:rPr>
            </w:pPr>
          </w:p>
          <w:p w14:paraId="09E007BD" w14:textId="77777777" w:rsidR="00CC40F5" w:rsidRDefault="00CC40F5" w:rsidP="006754AD">
            <w:pPr>
              <w:pStyle w:val="Piedepgina"/>
              <w:spacing w:line="252" w:lineRule="auto"/>
              <w:jc w:val="center"/>
              <w:rPr>
                <w:sz w:val="18"/>
                <w:szCs w:val="18"/>
              </w:rPr>
            </w:pPr>
            <w:r>
              <w:rPr>
                <w:b/>
                <w:bCs/>
                <w:sz w:val="18"/>
                <w:szCs w:val="18"/>
              </w:rPr>
              <w:t>Laura Martínez</w:t>
            </w:r>
            <w:r>
              <w:rPr>
                <w:sz w:val="18"/>
                <w:szCs w:val="18"/>
              </w:rPr>
              <w:t xml:space="preserve"> – 686 688 757</w:t>
            </w:r>
            <w:r>
              <w:rPr>
                <w:sz w:val="18"/>
                <w:szCs w:val="18"/>
              </w:rPr>
              <w:br/>
            </w:r>
            <w:hyperlink r:id="rId7" w:history="1">
              <w:r w:rsidRPr="009D144E">
                <w:rPr>
                  <w:rStyle w:val="Hipervnculo"/>
                  <w:sz w:val="18"/>
                  <w:szCs w:val="18"/>
                </w:rPr>
                <w:t>laura.martinez@iahorro.com</w:t>
              </w:r>
            </w:hyperlink>
          </w:p>
          <w:p w14:paraId="729589DD" w14:textId="77777777" w:rsidR="00CC40F5" w:rsidRDefault="00CC40F5" w:rsidP="006754AD">
            <w:pPr>
              <w:pStyle w:val="Piedepgina"/>
              <w:spacing w:line="252" w:lineRule="auto"/>
              <w:jc w:val="center"/>
              <w:rPr>
                <w:b/>
                <w:bCs/>
                <w:sz w:val="18"/>
                <w:szCs w:val="18"/>
                <w:lang w:val="pt-PT"/>
              </w:rPr>
            </w:pPr>
          </w:p>
          <w:p w14:paraId="6DD6E9EE" w14:textId="77777777" w:rsidR="00CC40F5" w:rsidRDefault="00CC40F5" w:rsidP="006754AD">
            <w:pPr>
              <w:pStyle w:val="Piedepgina"/>
              <w:spacing w:line="252" w:lineRule="auto"/>
              <w:jc w:val="center"/>
              <w:rPr>
                <w:b/>
                <w:bCs/>
                <w:sz w:val="18"/>
                <w:szCs w:val="18"/>
                <w:lang w:val="pt-PT"/>
              </w:rPr>
            </w:pPr>
          </w:p>
        </w:tc>
        <w:tc>
          <w:tcPr>
            <w:tcW w:w="2556" w:type="dxa"/>
            <w:tcMar>
              <w:top w:w="0" w:type="dxa"/>
              <w:left w:w="108" w:type="dxa"/>
              <w:bottom w:w="0" w:type="dxa"/>
              <w:right w:w="108" w:type="dxa"/>
            </w:tcMar>
            <w:vAlign w:val="center"/>
            <w:hideMark/>
          </w:tcPr>
          <w:p w14:paraId="68D93908" w14:textId="77777777" w:rsidR="00CC40F5" w:rsidRDefault="00CC40F5" w:rsidP="006754AD">
            <w:pPr>
              <w:pStyle w:val="Piedepgina"/>
              <w:spacing w:line="252" w:lineRule="auto"/>
              <w:rPr>
                <w:b/>
                <w:bCs/>
                <w:sz w:val="18"/>
                <w:szCs w:val="18"/>
                <w:lang w:val="pt-PT"/>
              </w:rPr>
            </w:pPr>
            <w:r>
              <w:rPr>
                <w:b/>
                <w:bCs/>
                <w:sz w:val="18"/>
                <w:szCs w:val="18"/>
                <w:lang w:val="pt-PT"/>
              </w:rPr>
              <w:t>Noelia Pérez</w:t>
            </w:r>
            <w:r>
              <w:rPr>
                <w:sz w:val="18"/>
                <w:szCs w:val="18"/>
                <w:lang w:val="pt-PT"/>
              </w:rPr>
              <w:t xml:space="preserve"> – 653 247 167</w:t>
            </w:r>
            <w:r>
              <w:rPr>
                <w:sz w:val="18"/>
                <w:szCs w:val="18"/>
                <w:lang w:val="pt-PT"/>
              </w:rPr>
              <w:br/>
            </w:r>
            <w:hyperlink r:id="rId8" w:history="1">
              <w:r>
                <w:rPr>
                  <w:rStyle w:val="Hipervnculo"/>
                  <w:sz w:val="18"/>
                  <w:szCs w:val="18"/>
                  <w:lang w:val="pt-PT"/>
                </w:rPr>
                <w:t>noelia.perez@iahorro.com</w:t>
              </w:r>
            </w:hyperlink>
          </w:p>
        </w:tc>
      </w:tr>
    </w:tbl>
    <w:p w14:paraId="361E6081" w14:textId="77777777" w:rsidR="00381D98" w:rsidRDefault="00381D98"/>
    <w:sectPr w:rsidR="00381D9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Muli">
    <w:altName w:val="Calibri"/>
    <w:panose1 w:val="00000000000000000000"/>
    <w:charset w:val="00"/>
    <w:family w:val="auto"/>
    <w:pitch w:val="variable"/>
    <w:sig w:usb0="A00000FF" w:usb1="5000204B" w:usb2="00000000" w:usb3="00000000" w:csb0="00000193" w:csb1="00000000"/>
  </w:font>
  <w:font w:name="Montserrat">
    <w:panose1 w:val="00000500000000000000"/>
    <w:charset w:val="00"/>
    <w:family w:val="auto"/>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3C27A8"/>
    <w:multiLevelType w:val="hybridMultilevel"/>
    <w:tmpl w:val="F734331A"/>
    <w:lvl w:ilvl="0" w:tplc="E7DEB2F6">
      <w:numFmt w:val="bullet"/>
      <w:lvlText w:val=""/>
      <w:lvlJc w:val="left"/>
      <w:pPr>
        <w:ind w:left="720" w:hanging="360"/>
      </w:pPr>
      <w:rPr>
        <w:rFonts w:ascii="Symbol" w:eastAsiaTheme="minorHAnsi" w:hAnsi="Symbol" w:cs="Calibri" w:hint="default"/>
        <w:b w:val="0"/>
        <w:color w:val="auto"/>
        <w:sz w:val="22"/>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16cid:durableId="60812351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40F5"/>
    <w:rsid w:val="0014369C"/>
    <w:rsid w:val="001B0F85"/>
    <w:rsid w:val="00324EC8"/>
    <w:rsid w:val="00381D98"/>
    <w:rsid w:val="00607676"/>
    <w:rsid w:val="006E6E88"/>
    <w:rsid w:val="008E20CF"/>
    <w:rsid w:val="009E7BAE"/>
    <w:rsid w:val="00A21B9D"/>
    <w:rsid w:val="00BF7332"/>
    <w:rsid w:val="00CC40F5"/>
    <w:rsid w:val="00D459E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9947E5"/>
  <w15:chartTrackingRefBased/>
  <w15:docId w15:val="{B64FBF4B-4267-4A17-B4DC-C429C61FD4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40F5"/>
    <w:pPr>
      <w:spacing w:after="0" w:line="240" w:lineRule="auto"/>
    </w:pPr>
    <w:rPr>
      <w:rFonts w:ascii="Calibri" w:hAnsi="Calibri" w:cs="Calibri"/>
      <w14:ligatures w14:val="standardContextual"/>
    </w:rPr>
  </w:style>
  <w:style w:type="paragraph" w:styleId="Ttulo1">
    <w:name w:val="heading 1"/>
    <w:basedOn w:val="Normal"/>
    <w:next w:val="Normal"/>
    <w:link w:val="Ttulo1Car"/>
    <w:uiPriority w:val="9"/>
    <w:qFormat/>
    <w:rsid w:val="00CC40F5"/>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CC40F5"/>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CC40F5"/>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CC40F5"/>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CC40F5"/>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CC40F5"/>
    <w:pPr>
      <w:keepNext/>
      <w:keepLines/>
      <w:spacing w:before="4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CC40F5"/>
    <w:pPr>
      <w:keepNext/>
      <w:keepLines/>
      <w:spacing w:before="4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CC40F5"/>
    <w:pPr>
      <w:keepNext/>
      <w:keepLines/>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CC40F5"/>
    <w:pPr>
      <w:keepNext/>
      <w:keepLines/>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CC40F5"/>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CC40F5"/>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CC40F5"/>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CC40F5"/>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CC40F5"/>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CC40F5"/>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CC40F5"/>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CC40F5"/>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CC40F5"/>
    <w:rPr>
      <w:rFonts w:eastAsiaTheme="majorEastAsia" w:cstheme="majorBidi"/>
      <w:color w:val="272727" w:themeColor="text1" w:themeTint="D8"/>
    </w:rPr>
  </w:style>
  <w:style w:type="paragraph" w:styleId="Ttulo">
    <w:name w:val="Title"/>
    <w:basedOn w:val="Normal"/>
    <w:next w:val="Normal"/>
    <w:link w:val="TtuloCar"/>
    <w:uiPriority w:val="10"/>
    <w:qFormat/>
    <w:rsid w:val="00CC40F5"/>
    <w:pPr>
      <w:spacing w:after="80"/>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CC40F5"/>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CC40F5"/>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CC40F5"/>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CC40F5"/>
    <w:pPr>
      <w:spacing w:before="160"/>
      <w:jc w:val="center"/>
    </w:pPr>
    <w:rPr>
      <w:i/>
      <w:iCs/>
      <w:color w:val="404040" w:themeColor="text1" w:themeTint="BF"/>
    </w:rPr>
  </w:style>
  <w:style w:type="character" w:customStyle="1" w:styleId="CitaCar">
    <w:name w:val="Cita Car"/>
    <w:basedOn w:val="Fuentedeprrafopredeter"/>
    <w:link w:val="Cita"/>
    <w:uiPriority w:val="29"/>
    <w:rsid w:val="00CC40F5"/>
    <w:rPr>
      <w:i/>
      <w:iCs/>
      <w:color w:val="404040" w:themeColor="text1" w:themeTint="BF"/>
    </w:rPr>
  </w:style>
  <w:style w:type="paragraph" w:styleId="Prrafodelista">
    <w:name w:val="List Paragraph"/>
    <w:basedOn w:val="Normal"/>
    <w:uiPriority w:val="34"/>
    <w:qFormat/>
    <w:rsid w:val="00CC40F5"/>
    <w:pPr>
      <w:ind w:left="720"/>
      <w:contextualSpacing/>
    </w:pPr>
  </w:style>
  <w:style w:type="character" w:styleId="nfasisintenso">
    <w:name w:val="Intense Emphasis"/>
    <w:basedOn w:val="Fuentedeprrafopredeter"/>
    <w:uiPriority w:val="21"/>
    <w:qFormat/>
    <w:rsid w:val="00CC40F5"/>
    <w:rPr>
      <w:i/>
      <w:iCs/>
      <w:color w:val="0F4761" w:themeColor="accent1" w:themeShade="BF"/>
    </w:rPr>
  </w:style>
  <w:style w:type="paragraph" w:styleId="Citadestacada">
    <w:name w:val="Intense Quote"/>
    <w:basedOn w:val="Normal"/>
    <w:next w:val="Normal"/>
    <w:link w:val="CitadestacadaCar"/>
    <w:uiPriority w:val="30"/>
    <w:qFormat/>
    <w:rsid w:val="00CC40F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CC40F5"/>
    <w:rPr>
      <w:i/>
      <w:iCs/>
      <w:color w:val="0F4761" w:themeColor="accent1" w:themeShade="BF"/>
    </w:rPr>
  </w:style>
  <w:style w:type="character" w:styleId="Referenciaintensa">
    <w:name w:val="Intense Reference"/>
    <w:basedOn w:val="Fuentedeprrafopredeter"/>
    <w:uiPriority w:val="32"/>
    <w:qFormat/>
    <w:rsid w:val="00CC40F5"/>
    <w:rPr>
      <w:b/>
      <w:bCs/>
      <w:smallCaps/>
      <w:color w:val="0F4761" w:themeColor="accent1" w:themeShade="BF"/>
      <w:spacing w:val="5"/>
    </w:rPr>
  </w:style>
  <w:style w:type="character" w:customStyle="1" w:styleId="contentpasted0">
    <w:name w:val="contentpasted0"/>
    <w:basedOn w:val="Fuentedeprrafopredeter"/>
    <w:rsid w:val="00CC40F5"/>
  </w:style>
  <w:style w:type="paragraph" w:customStyle="1" w:styleId="xmsonormal">
    <w:name w:val="x_msonormal"/>
    <w:basedOn w:val="Normal"/>
    <w:uiPriority w:val="99"/>
    <w:rsid w:val="00CC40F5"/>
    <w:rPr>
      <w:lang w:eastAsia="es-ES"/>
      <w14:ligatures w14:val="none"/>
    </w:rPr>
  </w:style>
  <w:style w:type="character" w:customStyle="1" w:styleId="xcontentpasted0">
    <w:name w:val="x_contentpasted0"/>
    <w:basedOn w:val="Fuentedeprrafopredeter"/>
    <w:rsid w:val="00CC40F5"/>
  </w:style>
  <w:style w:type="paragraph" w:customStyle="1" w:styleId="paragraph">
    <w:name w:val="paragraph"/>
    <w:basedOn w:val="Normal"/>
    <w:rsid w:val="00CC40F5"/>
    <w:pPr>
      <w:spacing w:before="100" w:beforeAutospacing="1" w:after="100" w:afterAutospacing="1"/>
    </w:pPr>
    <w:rPr>
      <w:rFonts w:ascii="Times New Roman" w:hAnsi="Times New Roman" w:cs="Times New Roman"/>
      <w:sz w:val="24"/>
      <w:szCs w:val="24"/>
      <w:lang w:eastAsia="es-ES"/>
      <w14:ligatures w14:val="none"/>
    </w:rPr>
  </w:style>
  <w:style w:type="character" w:customStyle="1" w:styleId="normaltextrun">
    <w:name w:val="normaltextrun"/>
    <w:basedOn w:val="Fuentedeprrafopredeter"/>
    <w:rsid w:val="00CC40F5"/>
  </w:style>
  <w:style w:type="paragraph" w:styleId="Piedepgina">
    <w:name w:val="footer"/>
    <w:basedOn w:val="Normal"/>
    <w:link w:val="PiedepginaCar"/>
    <w:uiPriority w:val="99"/>
    <w:unhideWhenUsed/>
    <w:rsid w:val="00CC40F5"/>
    <w:pPr>
      <w:tabs>
        <w:tab w:val="center" w:pos="4252"/>
        <w:tab w:val="right" w:pos="8504"/>
      </w:tabs>
    </w:pPr>
    <w:rPr>
      <w:rFonts w:asciiTheme="minorHAnsi" w:hAnsiTheme="minorHAnsi" w:cstheme="minorBidi"/>
      <w14:ligatures w14:val="none"/>
    </w:rPr>
  </w:style>
  <w:style w:type="character" w:customStyle="1" w:styleId="PiedepginaCar">
    <w:name w:val="Pie de página Car"/>
    <w:basedOn w:val="Fuentedeprrafopredeter"/>
    <w:link w:val="Piedepgina"/>
    <w:uiPriority w:val="99"/>
    <w:rsid w:val="00CC40F5"/>
  </w:style>
  <w:style w:type="character" w:styleId="Hipervnculo">
    <w:name w:val="Hyperlink"/>
    <w:basedOn w:val="Fuentedeprrafopredeter"/>
    <w:uiPriority w:val="99"/>
    <w:unhideWhenUsed/>
    <w:rsid w:val="00CC40F5"/>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oelia.perez@iahorro.com" TargetMode="External"/><Relationship Id="rId3" Type="http://schemas.openxmlformats.org/officeDocument/2006/relationships/settings" Target="settings.xml"/><Relationship Id="rId7" Type="http://schemas.openxmlformats.org/officeDocument/2006/relationships/hyperlink" Target="mailto:laura.martinez@iahorr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cid:image001.png@01DAB02B.F7780050"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512</Words>
  <Characters>2818</Characters>
  <Application>Microsoft Office Word</Application>
  <DocSecurity>0</DocSecurity>
  <Lines>23</Lines>
  <Paragraphs>6</Paragraphs>
  <ScaleCrop>false</ScaleCrop>
  <Company/>
  <LinksUpToDate>false</LinksUpToDate>
  <CharactersWithSpaces>3324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Noelia Perez</dc:creator>
  <cp:keywords/>
  <dc:description/>
  <cp:lastModifiedBy>Noelia Perez</cp:lastModifiedBy>
  <cp:revision>6</cp:revision>
  <dcterms:created xsi:type="dcterms:W3CDTF">2025-03-06T08:41:00Z</dcterms:created>
  <dcterms:modified xsi:type="dcterms:W3CDTF">2025-03-06T08:44:00Z</dcterms:modified>
</cp:coreProperties>
</file>