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41A6D" w14:textId="77777777" w:rsidR="00C43347" w:rsidRDefault="00C43347" w:rsidP="00C43347">
      <w:pPr>
        <w:spacing w:after="160"/>
        <w:jc w:val="center"/>
        <w:rPr>
          <w:rFonts w:ascii="Times New Roman" w:hAnsi="Times New Roman" w:cs="Times New Roman"/>
          <w:color w:val="000000"/>
          <w:sz w:val="24"/>
          <w:szCs w:val="24"/>
        </w:rPr>
      </w:pPr>
      <w:r>
        <w:rPr>
          <w:rStyle w:val="contentpasted0"/>
          <w:rFonts w:ascii="Muli" w:hAnsi="Muli"/>
          <w:b/>
          <w:bCs/>
          <w:color w:val="000000"/>
          <w:sz w:val="24"/>
          <w:szCs w:val="24"/>
        </w:rPr>
        <w:t>Análisis de la decisión del BCE, por Laura Martínez </w:t>
      </w:r>
    </w:p>
    <w:p w14:paraId="1486B0E0" w14:textId="70E1A7DC" w:rsidR="00C43347" w:rsidRPr="005C61A7" w:rsidRDefault="00C43347" w:rsidP="00C43347">
      <w:pPr>
        <w:pStyle w:val="xmsonormal"/>
        <w:spacing w:after="160"/>
        <w:jc w:val="center"/>
        <w:rPr>
          <w:rFonts w:ascii="Montserrat" w:hAnsi="Montserrat"/>
          <w:b/>
          <w:bCs/>
          <w:color w:val="243962"/>
          <w:sz w:val="32"/>
          <w:szCs w:val="32"/>
        </w:rPr>
      </w:pPr>
      <w:r>
        <w:rPr>
          <w:rFonts w:ascii="Montserrat" w:hAnsi="Montserrat"/>
          <w:b/>
          <w:bCs/>
          <w:color w:val="243962"/>
          <w:sz w:val="32"/>
          <w:szCs w:val="32"/>
        </w:rPr>
        <w:t>La guerra en Oriente Próximo cambia las perspectivas sobre los tipos de interés: el BCE podría subirlos en los próximos meses</w:t>
      </w:r>
    </w:p>
    <w:p w14:paraId="0E3C4856" w14:textId="77777777" w:rsidR="00C43347" w:rsidRDefault="00C43347" w:rsidP="00C43347">
      <w:pPr>
        <w:rPr>
          <w:rFonts w:ascii="Muli" w:hAnsi="Muli"/>
          <w:sz w:val="24"/>
          <w:szCs w:val="24"/>
        </w:rPr>
      </w:pPr>
    </w:p>
    <w:p w14:paraId="39AFBF3E" w14:textId="51E91022" w:rsidR="00C43347" w:rsidRPr="00AC043F" w:rsidRDefault="00C43347" w:rsidP="00C43347">
      <w:pPr>
        <w:rPr>
          <w:rFonts w:ascii="Muli" w:hAnsi="Muli"/>
          <w:sz w:val="24"/>
          <w:szCs w:val="24"/>
        </w:rPr>
      </w:pPr>
      <w:r w:rsidRPr="200BADFB">
        <w:rPr>
          <w:rFonts w:ascii="Muli" w:hAnsi="Muli"/>
          <w:sz w:val="24"/>
          <w:szCs w:val="24"/>
        </w:rPr>
        <w:t xml:space="preserve">Madrid, </w:t>
      </w:r>
      <w:r>
        <w:rPr>
          <w:rFonts w:ascii="Muli" w:hAnsi="Muli"/>
          <w:sz w:val="24"/>
          <w:szCs w:val="24"/>
        </w:rPr>
        <w:t>1</w:t>
      </w:r>
      <w:r w:rsidR="00374AF5">
        <w:rPr>
          <w:rFonts w:ascii="Muli" w:hAnsi="Muli"/>
          <w:sz w:val="24"/>
          <w:szCs w:val="24"/>
        </w:rPr>
        <w:t>9</w:t>
      </w:r>
      <w:r>
        <w:rPr>
          <w:rFonts w:ascii="Muli" w:hAnsi="Muli"/>
          <w:sz w:val="24"/>
          <w:szCs w:val="24"/>
        </w:rPr>
        <w:t xml:space="preserve"> de marzo de 2026</w:t>
      </w:r>
    </w:p>
    <w:p w14:paraId="7F5C9E1B" w14:textId="29E89CA7" w:rsidR="00C43347" w:rsidRPr="00C43347" w:rsidRDefault="00C43347" w:rsidP="00C43347">
      <w:pPr>
        <w:pStyle w:val="paragraph"/>
        <w:spacing w:before="240"/>
        <w:textAlignment w:val="baseline"/>
        <w:rPr>
          <w:rFonts w:ascii="Muli" w:hAnsi="Muli"/>
        </w:rPr>
      </w:pPr>
      <w:r w:rsidRPr="00C43347">
        <w:rPr>
          <w:rFonts w:ascii="Muli" w:hAnsi="Muli"/>
        </w:rPr>
        <w:t xml:space="preserve">La reunión que celebrará el Banco Central Europeo </w:t>
      </w:r>
      <w:r>
        <w:rPr>
          <w:rFonts w:ascii="Muli" w:hAnsi="Muli"/>
        </w:rPr>
        <w:t xml:space="preserve">(BCE) </w:t>
      </w:r>
      <w:r w:rsidRPr="00C43347">
        <w:rPr>
          <w:rFonts w:ascii="Muli" w:hAnsi="Muli"/>
        </w:rPr>
        <w:t>este jueves, 19 de marzo, llega en un contexto marcado por la elevada incertidumbre geopolítica y por el riesgo de que la inflación vuelva a repuntar en la eurozona. En este escenario, todo apunta a que el organismo presidido por Christine Lagarde mantendrá los tipos de interés en el 2% actual, nivel en el que llevan estancados desde hace ya</w:t>
      </w:r>
      <w:r>
        <w:rPr>
          <w:rFonts w:ascii="Muli" w:hAnsi="Muli"/>
        </w:rPr>
        <w:t xml:space="preserve"> 9 </w:t>
      </w:r>
      <w:r w:rsidRPr="00C43347">
        <w:rPr>
          <w:rFonts w:ascii="Muli" w:hAnsi="Muli"/>
        </w:rPr>
        <w:t>meses. Sin embargo, no parece que esta situación vaya a prolongarse demasiado en el tiempo y, de hecho, las últimas señales del mercado no invitan precisamente al optimismo.</w:t>
      </w:r>
    </w:p>
    <w:p w14:paraId="2D51B009" w14:textId="1254CAF9" w:rsidR="00C43347" w:rsidRPr="00C43347" w:rsidRDefault="00C43347" w:rsidP="00C43347">
      <w:pPr>
        <w:pStyle w:val="paragraph"/>
        <w:spacing w:before="240"/>
        <w:textAlignment w:val="baseline"/>
        <w:rPr>
          <w:rFonts w:ascii="Muli" w:hAnsi="Muli"/>
        </w:rPr>
      </w:pPr>
      <w:r>
        <w:rPr>
          <w:rFonts w:ascii="Muli" w:hAnsi="Muli"/>
        </w:rPr>
        <w:t>Pese a que</w:t>
      </w:r>
      <w:r w:rsidRPr="00C43347">
        <w:rPr>
          <w:rFonts w:ascii="Muli" w:hAnsi="Muli"/>
        </w:rPr>
        <w:t xml:space="preserve"> el escenario que manejaban los analistas hace solo unos meses era </w:t>
      </w:r>
      <w:r>
        <w:rPr>
          <w:rFonts w:ascii="Muli" w:hAnsi="Muli"/>
        </w:rPr>
        <w:t xml:space="preserve">bastante positivo, ahora es </w:t>
      </w:r>
      <w:r w:rsidRPr="00C43347">
        <w:rPr>
          <w:rFonts w:ascii="Muli" w:hAnsi="Muli"/>
        </w:rPr>
        <w:t xml:space="preserve">muy distinto. Antes del </w:t>
      </w:r>
      <w:r>
        <w:rPr>
          <w:rFonts w:ascii="Muli" w:hAnsi="Muli"/>
        </w:rPr>
        <w:t>estallido de la guerra en</w:t>
      </w:r>
      <w:r w:rsidRPr="00C43347">
        <w:rPr>
          <w:rFonts w:ascii="Muli" w:hAnsi="Muli"/>
        </w:rPr>
        <w:t xml:space="preserve"> Oriente Próximo, </w:t>
      </w:r>
      <w:r>
        <w:rPr>
          <w:rFonts w:ascii="Muli" w:hAnsi="Muli"/>
        </w:rPr>
        <w:t>todas las previsiones apuntaban a</w:t>
      </w:r>
      <w:r w:rsidRPr="00C43347">
        <w:rPr>
          <w:rFonts w:ascii="Muli" w:hAnsi="Muli"/>
        </w:rPr>
        <w:t xml:space="preserve"> que 2026 sería el año en el que </w:t>
      </w:r>
      <w:r>
        <w:rPr>
          <w:rFonts w:ascii="Muli" w:hAnsi="Muli"/>
        </w:rPr>
        <w:t xml:space="preserve">volveríamos a ver nuevas </w:t>
      </w:r>
      <w:r w:rsidRPr="00C43347">
        <w:rPr>
          <w:rFonts w:ascii="Muli" w:hAnsi="Muli"/>
        </w:rPr>
        <w:t>bajadas de tipos</w:t>
      </w:r>
      <w:r>
        <w:rPr>
          <w:rFonts w:ascii="Muli" w:hAnsi="Muli"/>
        </w:rPr>
        <w:t>, acompañados de una moderación p</w:t>
      </w:r>
      <w:r w:rsidRPr="00C43347">
        <w:rPr>
          <w:rFonts w:ascii="Muli" w:hAnsi="Muli"/>
        </w:rPr>
        <w:t xml:space="preserve">rogresiva de la inflación y una economía europea </w:t>
      </w:r>
      <w:r>
        <w:rPr>
          <w:rFonts w:ascii="Muli" w:hAnsi="Muli"/>
        </w:rPr>
        <w:t xml:space="preserve">cada vez menos </w:t>
      </w:r>
      <w:r w:rsidRPr="00C43347">
        <w:rPr>
          <w:rFonts w:ascii="Muli" w:hAnsi="Muli"/>
        </w:rPr>
        <w:t>debilitada. Sin embargo, el nuevo contexto internacional ha reactivado los riesgos inflacionistas, especialmente por el impacto potencial en los precios de la energía</w:t>
      </w:r>
      <w:r w:rsidR="00993AD7">
        <w:rPr>
          <w:rFonts w:ascii="Muli" w:hAnsi="Muli"/>
        </w:rPr>
        <w:t xml:space="preserve"> y el petróleo,</w:t>
      </w:r>
      <w:r w:rsidRPr="00C43347">
        <w:rPr>
          <w:rFonts w:ascii="Muli" w:hAnsi="Muli"/>
        </w:rPr>
        <w:t xml:space="preserve"> y en las cadenas de suministro.</w:t>
      </w:r>
    </w:p>
    <w:p w14:paraId="391C4D13" w14:textId="65C1FB89" w:rsidR="00993AD7" w:rsidRPr="00993AD7" w:rsidRDefault="00993AD7" w:rsidP="00993AD7">
      <w:pPr>
        <w:pStyle w:val="paragraph"/>
        <w:spacing w:before="240"/>
        <w:textAlignment w:val="baseline"/>
        <w:rPr>
          <w:rFonts w:ascii="Muli" w:hAnsi="Muli"/>
        </w:rPr>
      </w:pPr>
      <w:r>
        <w:rPr>
          <w:rFonts w:ascii="Muli" w:hAnsi="Muli"/>
        </w:rPr>
        <w:t>Por eso, e</w:t>
      </w:r>
      <w:r w:rsidRPr="00993AD7">
        <w:rPr>
          <w:rFonts w:ascii="Muli" w:hAnsi="Muli"/>
        </w:rPr>
        <w:t>n estos momentos, el BCE se encuentra en una posición d</w:t>
      </w:r>
      <w:r w:rsidR="006D01B6">
        <w:rPr>
          <w:rFonts w:ascii="Muli" w:hAnsi="Muli"/>
        </w:rPr>
        <w:t>e cautela</w:t>
      </w:r>
      <w:r w:rsidRPr="00993AD7">
        <w:rPr>
          <w:rFonts w:ascii="Muli" w:hAnsi="Muli"/>
        </w:rPr>
        <w:t>, analizando cómo evolucionan tanto la inflación como el crecimiento económico antes de tomar nuevas decisiones.</w:t>
      </w:r>
      <w:r>
        <w:rPr>
          <w:rFonts w:ascii="Muli" w:hAnsi="Muli"/>
        </w:rPr>
        <w:t xml:space="preserve"> Este es el motivo por el que en esta próxima cita no se esperan </w:t>
      </w:r>
      <w:r w:rsidRPr="438B7049">
        <w:rPr>
          <w:rFonts w:ascii="Muli" w:hAnsi="Muli"/>
        </w:rPr>
        <w:t>movimiento</w:t>
      </w:r>
      <w:r w:rsidR="71A88676" w:rsidRPr="438B7049">
        <w:rPr>
          <w:rFonts w:ascii="Muli" w:hAnsi="Muli"/>
        </w:rPr>
        <w:t>s</w:t>
      </w:r>
      <w:r>
        <w:rPr>
          <w:rFonts w:ascii="Muli" w:hAnsi="Muli"/>
        </w:rPr>
        <w:t>, aunque</w:t>
      </w:r>
      <w:r w:rsidRPr="00993AD7">
        <w:rPr>
          <w:rFonts w:ascii="Muli" w:hAnsi="Muli"/>
        </w:rPr>
        <w:t xml:space="preserve"> ya no se descarta que, si las tensiones geopolíticas se prolongan o se intensifican, el organismo pueda verse obligado a endurecer nuevamente su política monetaria, </w:t>
      </w:r>
      <w:r>
        <w:rPr>
          <w:rFonts w:ascii="Muli" w:hAnsi="Muli"/>
        </w:rPr>
        <w:t>aplicando incluso algunas subidas en los tipos de cara a verano.</w:t>
      </w:r>
    </w:p>
    <w:p w14:paraId="0DC5A7D9" w14:textId="4EB24C20" w:rsidR="00993AD7" w:rsidRDefault="00993AD7" w:rsidP="00993AD7">
      <w:pPr>
        <w:pStyle w:val="paragraph"/>
        <w:spacing w:before="240"/>
        <w:textAlignment w:val="baseline"/>
        <w:rPr>
          <w:rFonts w:ascii="Muli" w:hAnsi="Muli"/>
        </w:rPr>
      </w:pPr>
      <w:r w:rsidRPr="00993AD7">
        <w:rPr>
          <w:rFonts w:ascii="Muli" w:hAnsi="Muli"/>
        </w:rPr>
        <w:t>En este contexto, será especialmente relevante el mensaje que traslade Christine Lagarde tras la reunión. Más allá de la decisión concreta sobre los tipos de interés, el foco estará en las pistas que pueda ofrecer sobre la hoja de ruta</w:t>
      </w:r>
      <w:r w:rsidR="00142686">
        <w:rPr>
          <w:rFonts w:ascii="Muli" w:hAnsi="Muli"/>
        </w:rPr>
        <w:t xml:space="preserve"> que llevará a cabo </w:t>
      </w:r>
      <w:r w:rsidRPr="00993AD7">
        <w:rPr>
          <w:rFonts w:ascii="Muli" w:hAnsi="Muli"/>
        </w:rPr>
        <w:t xml:space="preserve">el BCE en los próximos meses </w:t>
      </w:r>
      <w:r w:rsidR="007A00B0">
        <w:rPr>
          <w:rFonts w:ascii="Muli" w:hAnsi="Muli"/>
        </w:rPr>
        <w:t>y en el análisis que haga</w:t>
      </w:r>
      <w:r w:rsidR="00A027FE" w:rsidRPr="00A027FE">
        <w:rPr>
          <w:rFonts w:ascii="Muli" w:hAnsi="Muli"/>
        </w:rPr>
        <w:t xml:space="preserve"> de</w:t>
      </w:r>
      <w:r w:rsidR="00123602">
        <w:rPr>
          <w:rFonts w:ascii="Muli" w:hAnsi="Muli"/>
        </w:rPr>
        <w:t xml:space="preserve"> </w:t>
      </w:r>
      <w:r w:rsidR="00A027FE" w:rsidRPr="00A027FE">
        <w:rPr>
          <w:rFonts w:ascii="Muli" w:hAnsi="Muli"/>
        </w:rPr>
        <w:t xml:space="preserve">la situación actual </w:t>
      </w:r>
      <w:r w:rsidR="007A00B0">
        <w:rPr>
          <w:rFonts w:ascii="Muli" w:hAnsi="Muli"/>
        </w:rPr>
        <w:t>que atraviesa</w:t>
      </w:r>
      <w:r w:rsidR="00A027FE" w:rsidRPr="00A027FE">
        <w:rPr>
          <w:rFonts w:ascii="Muli" w:hAnsi="Muli"/>
        </w:rPr>
        <w:t xml:space="preserve"> la economía de la eurozona.</w:t>
      </w:r>
    </w:p>
    <w:p w14:paraId="5FB9BD2D" w14:textId="086A03AF" w:rsidR="00993AD7" w:rsidRPr="00993AD7" w:rsidRDefault="00993AD7" w:rsidP="00993AD7">
      <w:pPr>
        <w:pStyle w:val="paragraph"/>
        <w:spacing w:before="240"/>
        <w:textAlignment w:val="baseline"/>
        <w:rPr>
          <w:rFonts w:ascii="Muli" w:hAnsi="Muli"/>
        </w:rPr>
      </w:pPr>
      <w:r w:rsidRPr="00993AD7">
        <w:rPr>
          <w:rFonts w:ascii="Muli" w:hAnsi="Muli"/>
        </w:rPr>
        <w:t>¿Cómo afecta esto al mercado hipotecario? El euríbor, principal indicador de referencia para la mayoría de las hipotecas variables en España, ha retomado la senda alcista en las últimas semanas, con varios registros diarios por encima del 2,5%. Esto significa que muchas hipotecas a tipo variable</w:t>
      </w:r>
      <w:r>
        <w:rPr>
          <w:rFonts w:ascii="Muli" w:hAnsi="Muli"/>
        </w:rPr>
        <w:t xml:space="preserve"> ahora vigentes podrían empezar</w:t>
      </w:r>
      <w:r w:rsidRPr="00993AD7">
        <w:rPr>
          <w:rFonts w:ascii="Muli" w:hAnsi="Muli"/>
        </w:rPr>
        <w:t xml:space="preserve"> a encarecers</w:t>
      </w:r>
      <w:r>
        <w:rPr>
          <w:rFonts w:ascii="Muli" w:hAnsi="Muli"/>
        </w:rPr>
        <w:t xml:space="preserve">e, ya </w:t>
      </w:r>
      <w:r w:rsidRPr="00993AD7">
        <w:rPr>
          <w:rFonts w:ascii="Muli" w:hAnsi="Muli"/>
        </w:rPr>
        <w:t>que</w:t>
      </w:r>
      <w:r>
        <w:rPr>
          <w:rFonts w:ascii="Muli" w:hAnsi="Muli"/>
        </w:rPr>
        <w:t xml:space="preserve">, en caso de </w:t>
      </w:r>
      <w:r>
        <w:rPr>
          <w:rFonts w:ascii="Muli" w:hAnsi="Muli"/>
        </w:rPr>
        <w:lastRenderedPageBreak/>
        <w:t>que el euríbor supere este mes de marzo la media mensual alcanzada durante el mismo mes del año pasado (2,398%),</w:t>
      </w:r>
      <w:r w:rsidRPr="00993AD7">
        <w:rPr>
          <w:rFonts w:ascii="Muli" w:hAnsi="Muli"/>
        </w:rPr>
        <w:t xml:space="preserve"> quienes tengan que </w:t>
      </w:r>
      <w:r>
        <w:rPr>
          <w:rFonts w:ascii="Muli" w:hAnsi="Muli"/>
        </w:rPr>
        <w:t>hacer la revisión anual de sus cuotas verán cómo estas</w:t>
      </w:r>
      <w:r w:rsidRPr="00993AD7">
        <w:rPr>
          <w:rFonts w:ascii="Muli" w:hAnsi="Muli"/>
        </w:rPr>
        <w:t xml:space="preserve"> suben progresivamente</w:t>
      </w:r>
      <w:r>
        <w:rPr>
          <w:rFonts w:ascii="Muli" w:hAnsi="Muli"/>
        </w:rPr>
        <w:t xml:space="preserve">. </w:t>
      </w:r>
    </w:p>
    <w:p w14:paraId="739B5E8E" w14:textId="6B54CFDC" w:rsidR="00993AD7" w:rsidRPr="00993AD7" w:rsidRDefault="00993AD7" w:rsidP="00993AD7">
      <w:pPr>
        <w:pStyle w:val="paragraph"/>
        <w:spacing w:before="240"/>
        <w:textAlignment w:val="baseline"/>
        <w:rPr>
          <w:rFonts w:ascii="Muli" w:hAnsi="Muli"/>
        </w:rPr>
      </w:pPr>
      <w:r w:rsidRPr="00993AD7">
        <w:rPr>
          <w:rFonts w:ascii="Muli" w:hAnsi="Muli"/>
        </w:rPr>
        <w:t>Pero el efecto no se limita solo a las hipotecas variables: también influye en la contratación de nuev</w:t>
      </w:r>
      <w:r w:rsidR="00221A1E">
        <w:rPr>
          <w:rFonts w:ascii="Muli" w:hAnsi="Muli"/>
        </w:rPr>
        <w:t xml:space="preserve">os préstamos. </w:t>
      </w:r>
      <w:r>
        <w:rPr>
          <w:rFonts w:ascii="Muli" w:hAnsi="Muli"/>
        </w:rPr>
        <w:t xml:space="preserve">Algunos bancos ya han empezado a ajustar </w:t>
      </w:r>
      <w:r w:rsidRPr="00993AD7">
        <w:rPr>
          <w:rFonts w:ascii="Muli" w:hAnsi="Muli"/>
        </w:rPr>
        <w:t xml:space="preserve">sus ofertas al alza para compensar el aumento del coste del dinero, por lo que los tipos de interés de </w:t>
      </w:r>
      <w:r w:rsidR="00221A1E">
        <w:rPr>
          <w:rFonts w:ascii="Muli" w:hAnsi="Muli"/>
        </w:rPr>
        <w:t>las hipotecas fijas</w:t>
      </w:r>
      <w:r w:rsidRPr="00993AD7">
        <w:rPr>
          <w:rFonts w:ascii="Muli" w:hAnsi="Muli"/>
        </w:rPr>
        <w:t xml:space="preserve"> </w:t>
      </w:r>
      <w:r>
        <w:rPr>
          <w:rFonts w:ascii="Muli" w:hAnsi="Muli"/>
        </w:rPr>
        <w:t>y mixt</w:t>
      </w:r>
      <w:r w:rsidR="00221A1E">
        <w:rPr>
          <w:rFonts w:ascii="Muli" w:hAnsi="Muli"/>
        </w:rPr>
        <w:t>a</w:t>
      </w:r>
      <w:r>
        <w:rPr>
          <w:rFonts w:ascii="Muli" w:hAnsi="Muli"/>
        </w:rPr>
        <w:t>s (sobre todo durante su parte fija) también tienden al alza</w:t>
      </w:r>
      <w:r w:rsidRPr="00993AD7">
        <w:rPr>
          <w:rFonts w:ascii="Muli" w:hAnsi="Muli"/>
        </w:rPr>
        <w:t>. Esto encarece la financiación para quienes estén pensando en comprar una vivienda y reduce, de manera indirecta, la capacidad de ahorro de los hogares.</w:t>
      </w:r>
    </w:p>
    <w:p w14:paraId="398D2A8F" w14:textId="7001017F" w:rsidR="00993AD7" w:rsidRPr="00993AD7" w:rsidRDefault="00993AD7" w:rsidP="00993AD7">
      <w:pPr>
        <w:pStyle w:val="paragraph"/>
        <w:spacing w:before="240"/>
        <w:textAlignment w:val="baseline"/>
        <w:rPr>
          <w:rFonts w:ascii="Muli" w:hAnsi="Muli"/>
        </w:rPr>
      </w:pPr>
      <w:r w:rsidRPr="00993AD7">
        <w:rPr>
          <w:rFonts w:ascii="Muli" w:hAnsi="Muli"/>
        </w:rPr>
        <w:t>En definitiva, aunque no se esperan movimientos inmediatos en los tipos oficiales</w:t>
      </w:r>
      <w:r>
        <w:rPr>
          <w:rFonts w:ascii="Muli" w:hAnsi="Muli"/>
        </w:rPr>
        <w:t xml:space="preserve">, </w:t>
      </w:r>
      <w:r w:rsidRPr="00993AD7">
        <w:rPr>
          <w:rFonts w:ascii="Muli" w:hAnsi="Muli"/>
        </w:rPr>
        <w:t>en esta reunión</w:t>
      </w:r>
      <w:r>
        <w:rPr>
          <w:rFonts w:ascii="Muli" w:hAnsi="Muli"/>
        </w:rPr>
        <w:t xml:space="preserve"> del Banco Central Europeo</w:t>
      </w:r>
      <w:r w:rsidRPr="00993AD7">
        <w:rPr>
          <w:rFonts w:ascii="Muli" w:hAnsi="Muli"/>
        </w:rPr>
        <w:t>, el nuevo contexto económico y geopolítico podría marcar un punto de inflexión en las expectativas sobre la política monetaria en Europa, con consecuencias directas sobre el coste de la financiación para familias y empresas.</w:t>
      </w:r>
    </w:p>
    <w:p w14:paraId="32A354F6" w14:textId="77777777" w:rsidR="00C43347" w:rsidRPr="005C61A7" w:rsidRDefault="00C43347" w:rsidP="00C43347">
      <w:pPr>
        <w:pStyle w:val="paragraph"/>
        <w:spacing w:before="240"/>
        <w:textAlignment w:val="baseline"/>
        <w:rPr>
          <w:rStyle w:val="contentpasted0"/>
          <w:rFonts w:ascii="Muli" w:hAnsi="Muli"/>
        </w:rPr>
      </w:pPr>
      <w:r>
        <w:rPr>
          <w:rStyle w:val="contentpasted0"/>
          <w:rFonts w:ascii="Muli" w:hAnsi="Muli"/>
          <w:color w:val="000000"/>
          <w:u w:val="single"/>
        </w:rPr>
        <w:t>Laura Martínez, portavoz de iAhorro.</w:t>
      </w:r>
    </w:p>
    <w:p w14:paraId="3EFF3EBA" w14:textId="77777777" w:rsidR="00C43347" w:rsidRPr="000B5564" w:rsidRDefault="00C43347" w:rsidP="00C43347">
      <w:pPr>
        <w:rPr>
          <w:rStyle w:val="contentpasted0"/>
          <w:rFonts w:ascii="Muli" w:hAnsi="Muli"/>
          <w:color w:val="000000"/>
          <w:sz w:val="24"/>
          <w:szCs w:val="24"/>
          <w:u w:val="single"/>
        </w:rPr>
      </w:pPr>
    </w:p>
    <w:p w14:paraId="2F689B5A" w14:textId="77777777" w:rsidR="00C43347" w:rsidRDefault="00C43347" w:rsidP="00C43347">
      <w:pPr>
        <w:rPr>
          <w:rStyle w:val="contentpasted0"/>
          <w:rFonts w:ascii="Muli" w:hAnsi="Muli"/>
          <w:i/>
          <w:iCs/>
          <w:color w:val="000000"/>
          <w:u w:val="single"/>
        </w:rPr>
      </w:pPr>
    </w:p>
    <w:p w14:paraId="5B1C852A" w14:textId="77777777" w:rsidR="00C43347" w:rsidRDefault="00C43347" w:rsidP="00C43347">
      <w:pPr>
        <w:spacing w:after="160"/>
        <w:rPr>
          <w:rStyle w:val="contentpasted0"/>
          <w:rFonts w:ascii="Muli" w:hAnsi="Muli"/>
          <w:color w:val="000000"/>
          <w:sz w:val="24"/>
          <w:szCs w:val="24"/>
          <w:lang w:val="es-ES_tradnl"/>
        </w:rPr>
      </w:pPr>
      <w:r>
        <w:rPr>
          <w:rStyle w:val="contentpasted0"/>
          <w:rFonts w:ascii="Muli" w:hAnsi="Muli"/>
          <w:b/>
          <w:bCs/>
          <w:color w:val="243962"/>
          <w:sz w:val="24"/>
          <w:szCs w:val="24"/>
          <w:lang w:val="es-ES_tradnl"/>
        </w:rPr>
        <w:t xml:space="preserve">Si necesita más información o declaraciones en formato audiovisual: </w:t>
      </w:r>
      <w:r>
        <w:rPr>
          <w:rStyle w:val="contentpasted0"/>
          <w:rFonts w:ascii="Muli" w:hAnsi="Muli"/>
          <w:color w:val="000000"/>
          <w:sz w:val="24"/>
          <w:szCs w:val="24"/>
          <w:lang w:val="es-ES_tradnl"/>
        </w:rPr>
        <w:t>Póngase en contacto con el departamento de Comunicación. </w:t>
      </w:r>
    </w:p>
    <w:tbl>
      <w:tblPr>
        <w:tblW w:w="7092" w:type="dxa"/>
        <w:tblCellMar>
          <w:left w:w="0" w:type="dxa"/>
          <w:right w:w="0" w:type="dxa"/>
        </w:tblCellMar>
        <w:tblLook w:val="04A0" w:firstRow="1" w:lastRow="0" w:firstColumn="1" w:lastColumn="0" w:noHBand="0" w:noVBand="1"/>
      </w:tblPr>
      <w:tblGrid>
        <w:gridCol w:w="2016"/>
        <w:gridCol w:w="2547"/>
        <w:gridCol w:w="2529"/>
      </w:tblGrid>
      <w:tr w:rsidR="00135419" w:rsidRPr="00AF342D" w14:paraId="35FDF1D4" w14:textId="77777777">
        <w:trPr>
          <w:trHeight w:val="132"/>
        </w:trPr>
        <w:tc>
          <w:tcPr>
            <w:tcW w:w="1980" w:type="dxa"/>
            <w:tcMar>
              <w:top w:w="0" w:type="dxa"/>
              <w:left w:w="108" w:type="dxa"/>
              <w:bottom w:w="0" w:type="dxa"/>
              <w:right w:w="108" w:type="dxa"/>
            </w:tcMar>
            <w:vAlign w:val="center"/>
            <w:hideMark/>
          </w:tcPr>
          <w:p w14:paraId="702D824F" w14:textId="77777777" w:rsidR="00C43347" w:rsidRDefault="00C43347">
            <w:pPr>
              <w:pStyle w:val="Piedepgina"/>
              <w:spacing w:line="252" w:lineRule="auto"/>
              <w:rPr>
                <w:rFonts w:ascii="Aptos" w:hAnsi="Aptos" w:cs="Aptos"/>
                <w:b/>
                <w:bCs/>
                <w:sz w:val="18"/>
                <w:szCs w:val="18"/>
              </w:rPr>
            </w:pPr>
            <w:r>
              <w:rPr>
                <w:noProof/>
              </w:rPr>
              <w:drawing>
                <wp:inline distT="0" distB="0" distL="0" distR="0" wp14:anchorId="16C08328" wp14:editId="72745A63">
                  <wp:extent cx="1143000" cy="565999"/>
                  <wp:effectExtent l="0" t="0" r="0" b="0"/>
                  <wp:docPr id="1332602733"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4">
                            <a:extLst>
                              <a:ext uri="{28A0092B-C50C-407E-A947-70E740481C1C}">
                                <a14:useLocalDpi xmlns:a14="http://schemas.microsoft.com/office/drawing/2010/main" val="0"/>
                              </a:ext>
                            </a:extLst>
                          </a:blip>
                          <a:stretch>
                            <a:fillRect/>
                          </a:stretch>
                        </pic:blipFill>
                        <pic:spPr>
                          <a:xfrm>
                            <a:off x="0" y="0"/>
                            <a:ext cx="1148384" cy="568665"/>
                          </a:xfrm>
                          <a:prstGeom prst="rect">
                            <a:avLst/>
                          </a:prstGeom>
                        </pic:spPr>
                      </pic:pic>
                    </a:graphicData>
                  </a:graphic>
                </wp:inline>
              </w:drawing>
            </w:r>
          </w:p>
        </w:tc>
        <w:tc>
          <w:tcPr>
            <w:tcW w:w="2556" w:type="dxa"/>
            <w:tcMar>
              <w:top w:w="0" w:type="dxa"/>
              <w:left w:w="108" w:type="dxa"/>
              <w:bottom w:w="0" w:type="dxa"/>
              <w:right w:w="108" w:type="dxa"/>
            </w:tcMar>
            <w:vAlign w:val="center"/>
          </w:tcPr>
          <w:p w14:paraId="1CECF9AD" w14:textId="77777777" w:rsidR="00C43347" w:rsidRDefault="00C43347">
            <w:pPr>
              <w:pStyle w:val="Piedepgina"/>
              <w:spacing w:line="252" w:lineRule="auto"/>
              <w:jc w:val="center"/>
              <w:rPr>
                <w:b/>
                <w:bCs/>
                <w:sz w:val="18"/>
                <w:szCs w:val="18"/>
              </w:rPr>
            </w:pPr>
          </w:p>
          <w:p w14:paraId="4A3327C1" w14:textId="77777777" w:rsidR="00C43347" w:rsidRDefault="00C43347">
            <w:pPr>
              <w:pStyle w:val="Piedepgina"/>
              <w:spacing w:line="252" w:lineRule="auto"/>
              <w:jc w:val="center"/>
              <w:rPr>
                <w:b/>
                <w:bCs/>
                <w:sz w:val="18"/>
                <w:szCs w:val="18"/>
              </w:rPr>
            </w:pPr>
          </w:p>
          <w:p w14:paraId="27890303" w14:textId="77777777" w:rsidR="00C43347" w:rsidRDefault="00C43347">
            <w:pPr>
              <w:pStyle w:val="Piedepgina"/>
              <w:spacing w:line="252" w:lineRule="auto"/>
              <w:jc w:val="center"/>
              <w:rPr>
                <w:sz w:val="18"/>
                <w:szCs w:val="18"/>
              </w:rPr>
            </w:pPr>
            <w:r>
              <w:rPr>
                <w:b/>
                <w:bCs/>
                <w:sz w:val="18"/>
                <w:szCs w:val="18"/>
              </w:rPr>
              <w:t>Laura Martínez</w:t>
            </w:r>
            <w:r>
              <w:rPr>
                <w:sz w:val="18"/>
                <w:szCs w:val="18"/>
              </w:rPr>
              <w:t xml:space="preserve"> – 686 688 757</w:t>
            </w:r>
            <w:r>
              <w:rPr>
                <w:sz w:val="18"/>
                <w:szCs w:val="18"/>
              </w:rPr>
              <w:br/>
            </w:r>
            <w:hyperlink r:id="rId5" w:history="1">
              <w:r w:rsidRPr="009D144E">
                <w:rPr>
                  <w:rStyle w:val="Hipervnculo"/>
                  <w:sz w:val="18"/>
                  <w:szCs w:val="18"/>
                </w:rPr>
                <w:t>laura.martinez@iahorro.com</w:t>
              </w:r>
            </w:hyperlink>
          </w:p>
          <w:p w14:paraId="4E455325" w14:textId="77777777" w:rsidR="00C43347" w:rsidRDefault="00C43347">
            <w:pPr>
              <w:pStyle w:val="Piedepgina"/>
              <w:spacing w:line="252" w:lineRule="auto"/>
              <w:jc w:val="center"/>
              <w:rPr>
                <w:b/>
                <w:bCs/>
                <w:sz w:val="18"/>
                <w:szCs w:val="18"/>
                <w:lang w:val="pt-PT"/>
              </w:rPr>
            </w:pPr>
          </w:p>
          <w:p w14:paraId="5493901A" w14:textId="77777777" w:rsidR="00C43347" w:rsidRDefault="00C43347">
            <w:pPr>
              <w:pStyle w:val="Piedepgina"/>
              <w:spacing w:line="252" w:lineRule="auto"/>
              <w:jc w:val="center"/>
              <w:rPr>
                <w:b/>
                <w:bCs/>
                <w:sz w:val="18"/>
                <w:szCs w:val="18"/>
                <w:lang w:val="pt-PT"/>
              </w:rPr>
            </w:pPr>
          </w:p>
        </w:tc>
        <w:tc>
          <w:tcPr>
            <w:tcW w:w="2556" w:type="dxa"/>
            <w:tcMar>
              <w:top w:w="0" w:type="dxa"/>
              <w:left w:w="108" w:type="dxa"/>
              <w:bottom w:w="0" w:type="dxa"/>
              <w:right w:w="108" w:type="dxa"/>
            </w:tcMar>
            <w:vAlign w:val="center"/>
            <w:hideMark/>
          </w:tcPr>
          <w:p w14:paraId="3C0C113C" w14:textId="77777777" w:rsidR="00C43347" w:rsidRDefault="00C43347">
            <w:pPr>
              <w:pStyle w:val="Piedepgina"/>
              <w:spacing w:line="252" w:lineRule="auto"/>
              <w:rPr>
                <w:b/>
                <w:bCs/>
                <w:sz w:val="18"/>
                <w:szCs w:val="18"/>
                <w:lang w:val="pt-PT"/>
              </w:rPr>
            </w:pPr>
            <w:r>
              <w:rPr>
                <w:b/>
                <w:bCs/>
                <w:sz w:val="18"/>
                <w:szCs w:val="18"/>
                <w:lang w:val="pt-PT"/>
              </w:rPr>
              <w:t>Noelia Pérez</w:t>
            </w:r>
            <w:r>
              <w:rPr>
                <w:sz w:val="18"/>
                <w:szCs w:val="18"/>
                <w:lang w:val="pt-PT"/>
              </w:rPr>
              <w:t xml:space="preserve"> – 653 247 167</w:t>
            </w:r>
            <w:r>
              <w:rPr>
                <w:sz w:val="18"/>
                <w:szCs w:val="18"/>
                <w:lang w:val="pt-PT"/>
              </w:rPr>
              <w:br/>
            </w:r>
            <w:hyperlink r:id="rId6" w:history="1">
              <w:r>
                <w:rPr>
                  <w:rStyle w:val="Hipervnculo"/>
                  <w:sz w:val="18"/>
                  <w:szCs w:val="18"/>
                  <w:lang w:val="pt-PT"/>
                </w:rPr>
                <w:t>noelia.perez@iahorro.com</w:t>
              </w:r>
            </w:hyperlink>
          </w:p>
        </w:tc>
      </w:tr>
    </w:tbl>
    <w:p w14:paraId="6A333358" w14:textId="77777777" w:rsidR="00C43347" w:rsidRDefault="00C43347" w:rsidP="00C43347"/>
    <w:p w14:paraId="4945B54C" w14:textId="77777777" w:rsidR="00C43347" w:rsidRDefault="00C43347" w:rsidP="00C43347"/>
    <w:p w14:paraId="124907E4" w14:textId="77777777" w:rsidR="00C43347" w:rsidRDefault="00C43347" w:rsidP="00C43347"/>
    <w:p w14:paraId="38302EC5" w14:textId="77777777" w:rsidR="00381D98" w:rsidRDefault="00381D98"/>
    <w:sectPr w:rsidR="00381D9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uli">
    <w:panose1 w:val="00000000000000000000"/>
    <w:charset w:val="00"/>
    <w:family w:val="auto"/>
    <w:pitch w:val="variable"/>
    <w:sig w:usb0="A00000FF" w:usb1="5000204B" w:usb2="00000000" w:usb3="00000000" w:csb0="00000193" w:csb1="00000000"/>
  </w:font>
  <w:font w:name="Montserrat">
    <w:panose1 w:val="00000500000000000000"/>
    <w:charset w:val="00"/>
    <w:family w:val="modern"/>
    <w:notTrueType/>
    <w:pitch w:val="variable"/>
    <w:sig w:usb0="2000020F" w:usb1="00000003"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347"/>
    <w:rsid w:val="00073122"/>
    <w:rsid w:val="00123602"/>
    <w:rsid w:val="001346AF"/>
    <w:rsid w:val="00135419"/>
    <w:rsid w:val="00142686"/>
    <w:rsid w:val="0014369C"/>
    <w:rsid w:val="00143F6E"/>
    <w:rsid w:val="001B0F85"/>
    <w:rsid w:val="00221A1E"/>
    <w:rsid w:val="00374AF5"/>
    <w:rsid w:val="00381D98"/>
    <w:rsid w:val="00386388"/>
    <w:rsid w:val="004F76A9"/>
    <w:rsid w:val="005C2C24"/>
    <w:rsid w:val="00636A94"/>
    <w:rsid w:val="006D01B6"/>
    <w:rsid w:val="006E7AB3"/>
    <w:rsid w:val="006F774D"/>
    <w:rsid w:val="00715950"/>
    <w:rsid w:val="007A00B0"/>
    <w:rsid w:val="00863F9A"/>
    <w:rsid w:val="008F5B4F"/>
    <w:rsid w:val="00986C33"/>
    <w:rsid w:val="00993AD7"/>
    <w:rsid w:val="00A027FE"/>
    <w:rsid w:val="00B36576"/>
    <w:rsid w:val="00C43347"/>
    <w:rsid w:val="00C67E6F"/>
    <w:rsid w:val="00CB1163"/>
    <w:rsid w:val="00CD1AA3"/>
    <w:rsid w:val="00D104F5"/>
    <w:rsid w:val="00DA2805"/>
    <w:rsid w:val="00E67CCA"/>
    <w:rsid w:val="00F44FF4"/>
    <w:rsid w:val="0E74159E"/>
    <w:rsid w:val="438B7049"/>
    <w:rsid w:val="48865981"/>
    <w:rsid w:val="71A8867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0D668"/>
  <w15:chartTrackingRefBased/>
  <w15:docId w15:val="{5EC30794-F5E7-4F6C-9F18-D2A48E8FD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nhideWhenUsed/>
    <w:rsid w:val="00C43347"/>
    <w:pPr>
      <w:spacing w:after="0" w:line="240" w:lineRule="auto"/>
    </w:pPr>
    <w:rPr>
      <w:rFonts w:ascii="Calibri" w:hAnsi="Calibri" w:cs="Calibri"/>
      <w14:ligatures w14:val="standardContextual"/>
    </w:rPr>
  </w:style>
  <w:style w:type="paragraph" w:styleId="Ttulo1">
    <w:name w:val="heading 1"/>
    <w:basedOn w:val="Normal"/>
    <w:next w:val="Normal"/>
    <w:link w:val="Ttulo1Car"/>
    <w:uiPriority w:val="9"/>
    <w:qFormat/>
    <w:rsid w:val="00C433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433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4334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4334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4334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43347"/>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43347"/>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43347"/>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43347"/>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4334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4334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4334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4334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4334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43347"/>
    <w:rPr>
      <w:rFonts w:ascii="Calibri" w:eastAsiaTheme="majorEastAsia" w:hAnsi="Calibri" w:cstheme="majorBidi"/>
      <w:i/>
      <w:iCs/>
      <w:color w:val="595959" w:themeColor="text1" w:themeTint="A6"/>
      <w14:ligatures w14:val="standardContextual"/>
    </w:rPr>
  </w:style>
  <w:style w:type="character" w:customStyle="1" w:styleId="Ttulo7Car">
    <w:name w:val="Título 7 Car"/>
    <w:basedOn w:val="Fuentedeprrafopredeter"/>
    <w:link w:val="Ttulo7"/>
    <w:uiPriority w:val="9"/>
    <w:semiHidden/>
    <w:rsid w:val="00C43347"/>
    <w:rPr>
      <w:rFonts w:ascii="Calibri" w:eastAsiaTheme="majorEastAsia" w:hAnsi="Calibri" w:cstheme="majorBidi"/>
      <w:color w:val="595959" w:themeColor="text1" w:themeTint="A6"/>
      <w14:ligatures w14:val="standardContextual"/>
    </w:rPr>
  </w:style>
  <w:style w:type="character" w:customStyle="1" w:styleId="Ttulo8Car">
    <w:name w:val="Título 8 Car"/>
    <w:basedOn w:val="Fuentedeprrafopredeter"/>
    <w:link w:val="Ttulo8"/>
    <w:uiPriority w:val="9"/>
    <w:semiHidden/>
    <w:rsid w:val="00C43347"/>
    <w:rPr>
      <w:rFonts w:ascii="Calibri" w:eastAsiaTheme="majorEastAsia" w:hAnsi="Calibri" w:cstheme="majorBidi"/>
      <w:i/>
      <w:iCs/>
      <w:color w:val="272727" w:themeColor="text1" w:themeTint="D8"/>
      <w14:ligatures w14:val="standardContextual"/>
    </w:rPr>
  </w:style>
  <w:style w:type="character" w:customStyle="1" w:styleId="Ttulo9Car">
    <w:name w:val="Título 9 Car"/>
    <w:basedOn w:val="Fuentedeprrafopredeter"/>
    <w:link w:val="Ttulo9"/>
    <w:uiPriority w:val="9"/>
    <w:semiHidden/>
    <w:rsid w:val="00C43347"/>
    <w:rPr>
      <w:rFonts w:ascii="Calibri" w:eastAsiaTheme="majorEastAsia" w:hAnsi="Calibri" w:cstheme="majorBidi"/>
      <w:color w:val="272727" w:themeColor="text1" w:themeTint="D8"/>
      <w14:ligatures w14:val="standardContextual"/>
    </w:rPr>
  </w:style>
  <w:style w:type="paragraph" w:styleId="Ttulo">
    <w:name w:val="Title"/>
    <w:basedOn w:val="Normal"/>
    <w:next w:val="Normal"/>
    <w:link w:val="TtuloCar"/>
    <w:uiPriority w:val="10"/>
    <w:qFormat/>
    <w:rsid w:val="00C43347"/>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43347"/>
    <w:rPr>
      <w:rFonts w:asciiTheme="majorHAnsi" w:eastAsiaTheme="majorEastAsia" w:hAnsiTheme="majorHAnsi" w:cstheme="majorBidi"/>
      <w:spacing w:val="-10"/>
      <w:kern w:val="28"/>
      <w:sz w:val="56"/>
      <w:szCs w:val="56"/>
      <w14:ligatures w14:val="standardContextual"/>
    </w:rPr>
  </w:style>
  <w:style w:type="paragraph" w:styleId="Subttulo">
    <w:name w:val="Subtitle"/>
    <w:basedOn w:val="Normal"/>
    <w:next w:val="Normal"/>
    <w:link w:val="SubttuloCar"/>
    <w:uiPriority w:val="11"/>
    <w:qFormat/>
    <w:rsid w:val="00C4334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4334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43347"/>
    <w:pPr>
      <w:spacing w:before="160"/>
      <w:jc w:val="center"/>
    </w:pPr>
    <w:rPr>
      <w:i/>
      <w:iCs/>
      <w:color w:val="404040" w:themeColor="text1" w:themeTint="BF"/>
    </w:rPr>
  </w:style>
  <w:style w:type="character" w:customStyle="1" w:styleId="CitaCar">
    <w:name w:val="Cita Car"/>
    <w:basedOn w:val="Fuentedeprrafopredeter"/>
    <w:link w:val="Cita"/>
    <w:uiPriority w:val="29"/>
    <w:rsid w:val="00C43347"/>
    <w:rPr>
      <w:i/>
      <w:iCs/>
      <w:color w:val="404040" w:themeColor="text1" w:themeTint="BF"/>
    </w:rPr>
  </w:style>
  <w:style w:type="paragraph" w:styleId="Prrafodelista">
    <w:name w:val="List Paragraph"/>
    <w:basedOn w:val="Normal"/>
    <w:uiPriority w:val="34"/>
    <w:qFormat/>
    <w:rsid w:val="00C43347"/>
    <w:pPr>
      <w:ind w:left="720"/>
      <w:contextualSpacing/>
    </w:pPr>
  </w:style>
  <w:style w:type="character" w:styleId="nfasisintenso">
    <w:name w:val="Intense Emphasis"/>
    <w:basedOn w:val="Fuentedeprrafopredeter"/>
    <w:uiPriority w:val="21"/>
    <w:qFormat/>
    <w:rsid w:val="00C43347"/>
    <w:rPr>
      <w:i/>
      <w:iCs/>
      <w:color w:val="0F4761" w:themeColor="accent1" w:themeShade="BF"/>
    </w:rPr>
  </w:style>
  <w:style w:type="paragraph" w:styleId="Citadestacada">
    <w:name w:val="Intense Quote"/>
    <w:basedOn w:val="Normal"/>
    <w:next w:val="Normal"/>
    <w:link w:val="CitadestacadaCar"/>
    <w:uiPriority w:val="30"/>
    <w:qFormat/>
    <w:rsid w:val="00C433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43347"/>
    <w:rPr>
      <w:i/>
      <w:iCs/>
      <w:color w:val="0F4761" w:themeColor="accent1" w:themeShade="BF"/>
    </w:rPr>
  </w:style>
  <w:style w:type="character" w:styleId="Referenciaintensa">
    <w:name w:val="Intense Reference"/>
    <w:basedOn w:val="Fuentedeprrafopredeter"/>
    <w:uiPriority w:val="32"/>
    <w:qFormat/>
    <w:rsid w:val="00C43347"/>
    <w:rPr>
      <w:b/>
      <w:bCs/>
      <w:smallCaps/>
      <w:color w:val="0F4761" w:themeColor="accent1" w:themeShade="BF"/>
      <w:spacing w:val="5"/>
    </w:rPr>
  </w:style>
  <w:style w:type="character" w:customStyle="1" w:styleId="contentpasted0">
    <w:name w:val="contentpasted0"/>
    <w:basedOn w:val="Fuentedeprrafopredeter"/>
    <w:rsid w:val="00C43347"/>
  </w:style>
  <w:style w:type="paragraph" w:customStyle="1" w:styleId="xmsonormal">
    <w:name w:val="x_msonormal"/>
    <w:basedOn w:val="Normal"/>
    <w:uiPriority w:val="99"/>
    <w:rsid w:val="00C43347"/>
    <w:rPr>
      <w:lang w:eastAsia="es-ES"/>
      <w14:ligatures w14:val="none"/>
    </w:rPr>
  </w:style>
  <w:style w:type="paragraph" w:customStyle="1" w:styleId="paragraph">
    <w:name w:val="paragraph"/>
    <w:basedOn w:val="Normal"/>
    <w:rsid w:val="00C43347"/>
    <w:pPr>
      <w:spacing w:before="100" w:beforeAutospacing="1" w:after="100" w:afterAutospacing="1"/>
    </w:pPr>
    <w:rPr>
      <w:rFonts w:ascii="Times New Roman" w:hAnsi="Times New Roman" w:cs="Times New Roman"/>
      <w:sz w:val="24"/>
      <w:szCs w:val="24"/>
      <w:lang w:eastAsia="es-ES"/>
      <w14:ligatures w14:val="none"/>
    </w:rPr>
  </w:style>
  <w:style w:type="paragraph" w:styleId="Piedepgina">
    <w:name w:val="footer"/>
    <w:basedOn w:val="Normal"/>
    <w:link w:val="PiedepginaCar"/>
    <w:uiPriority w:val="99"/>
    <w:unhideWhenUsed/>
    <w:rsid w:val="00C43347"/>
    <w:pPr>
      <w:tabs>
        <w:tab w:val="center" w:pos="4252"/>
        <w:tab w:val="right" w:pos="8504"/>
      </w:tabs>
    </w:pPr>
    <w:rPr>
      <w:rFonts w:asciiTheme="minorHAnsi" w:hAnsiTheme="minorHAnsi" w:cstheme="minorBidi"/>
      <w14:ligatures w14:val="none"/>
    </w:rPr>
  </w:style>
  <w:style w:type="character" w:customStyle="1" w:styleId="PiedepginaCar">
    <w:name w:val="Pie de página Car"/>
    <w:basedOn w:val="Fuentedeprrafopredeter"/>
    <w:link w:val="Piedepgina"/>
    <w:uiPriority w:val="99"/>
    <w:rsid w:val="00C43347"/>
  </w:style>
  <w:style w:type="character" w:styleId="Hipervnculo">
    <w:name w:val="Hyperlink"/>
    <w:basedOn w:val="Fuentedeprrafopredeter"/>
    <w:uiPriority w:val="99"/>
    <w:unhideWhenUsed/>
    <w:rsid w:val="00C43347"/>
    <w:rPr>
      <w:color w:val="0563C1"/>
      <w:u w:val="single"/>
    </w:rPr>
  </w:style>
  <w:style w:type="paragraph" w:styleId="NormalWeb">
    <w:name w:val="Normal (Web)"/>
    <w:basedOn w:val="Normal"/>
    <w:uiPriority w:val="99"/>
    <w:semiHidden/>
    <w:unhideWhenUsed/>
    <w:rsid w:val="00993AD7"/>
    <w:rPr>
      <w:rFonts w:ascii="Times New Roman" w:hAnsi="Times New Roman" w:cs="Times New Roman"/>
      <w:sz w:val="24"/>
      <w:szCs w:val="24"/>
    </w:rPr>
  </w:style>
  <w:style w:type="paragraph" w:styleId="Textocomentario">
    <w:name w:val="annotation text"/>
    <w:basedOn w:val="Normal"/>
    <w:link w:val="TextocomentarioCar"/>
    <w:uiPriority w:val="99"/>
    <w:semiHidden/>
    <w:unhideWhenUsed/>
    <w:rsid w:val="00863F9A"/>
    <w:rPr>
      <w:sz w:val="20"/>
      <w:szCs w:val="20"/>
    </w:rPr>
  </w:style>
  <w:style w:type="character" w:customStyle="1" w:styleId="TextocomentarioCar">
    <w:name w:val="Texto comentario Car"/>
    <w:basedOn w:val="Fuentedeprrafopredeter"/>
    <w:link w:val="Textocomentario"/>
    <w:uiPriority w:val="99"/>
    <w:semiHidden/>
    <w:rsid w:val="00863F9A"/>
    <w:rPr>
      <w:rFonts w:ascii="Calibri" w:hAnsi="Calibri" w:cs="Calibri"/>
      <w:sz w:val="20"/>
      <w:szCs w:val="20"/>
      <w14:ligatures w14:val="standardContextual"/>
    </w:rPr>
  </w:style>
  <w:style w:type="character" w:styleId="Refdecomentario">
    <w:name w:val="annotation reference"/>
    <w:basedOn w:val="Fuentedeprrafopredeter"/>
    <w:uiPriority w:val="99"/>
    <w:semiHidden/>
    <w:unhideWhenUsed/>
    <w:rsid w:val="00863F9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oelia.perez@iahorro.com" TargetMode="External"/><Relationship Id="rId5" Type="http://schemas.openxmlformats.org/officeDocument/2006/relationships/hyperlink" Target="mailto:laura.martinez@iahorro.com"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623</Words>
  <Characters>3431</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4046</CharactersWithSpaces>
  <SharedDoc>false</SharedDoc>
  <HLinks>
    <vt:vector size="12" baseType="variant">
      <vt:variant>
        <vt:i4>5439535</vt:i4>
      </vt:variant>
      <vt:variant>
        <vt:i4>3</vt:i4>
      </vt:variant>
      <vt:variant>
        <vt:i4>0</vt:i4>
      </vt:variant>
      <vt:variant>
        <vt:i4>5</vt:i4>
      </vt:variant>
      <vt:variant>
        <vt:lpwstr>mailto:noelia.perez@iahorro.com</vt:lpwstr>
      </vt:variant>
      <vt:variant>
        <vt:lpwstr/>
      </vt:variant>
      <vt:variant>
        <vt:i4>7602185</vt:i4>
      </vt:variant>
      <vt:variant>
        <vt:i4>0</vt:i4>
      </vt:variant>
      <vt:variant>
        <vt:i4>0</vt:i4>
      </vt:variant>
      <vt:variant>
        <vt:i4>5</vt:i4>
      </vt:variant>
      <vt:variant>
        <vt:lpwstr>mailto:laura.martinez@iahorro.com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Noelia Perez</dc:creator>
  <cp:keywords/>
  <dc:description/>
  <cp:lastModifiedBy>Noelia Perez</cp:lastModifiedBy>
  <cp:revision>22</cp:revision>
  <dcterms:created xsi:type="dcterms:W3CDTF">2026-03-17T23:22:00Z</dcterms:created>
  <dcterms:modified xsi:type="dcterms:W3CDTF">2026-03-19T08:13:00Z</dcterms:modified>
</cp:coreProperties>
</file>