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B2FBF" w14:textId="0E983C2C" w:rsidR="00806A9C" w:rsidRDefault="00806A9C" w:rsidP="00806A9C">
      <w:pPr>
        <w:spacing w:after="160"/>
        <w:jc w:val="center"/>
        <w:rPr>
          <w:rFonts w:ascii="Times New Roman" w:hAnsi="Times New Roman" w:cs="Times New Roman"/>
          <w:color w:val="000000"/>
          <w:sz w:val="24"/>
          <w:szCs w:val="24"/>
        </w:rPr>
      </w:pPr>
      <w:r>
        <w:rPr>
          <w:rStyle w:val="contentpasted0"/>
          <w:rFonts w:ascii="Muli" w:hAnsi="Muli"/>
          <w:b/>
          <w:bCs/>
          <w:color w:val="000000"/>
          <w:sz w:val="24"/>
          <w:szCs w:val="24"/>
        </w:rPr>
        <w:t xml:space="preserve">Análisis de la decisión del BCE, por </w:t>
      </w:r>
      <w:r>
        <w:rPr>
          <w:rStyle w:val="contentpasted0"/>
          <w:rFonts w:ascii="Muli" w:hAnsi="Muli"/>
          <w:b/>
          <w:bCs/>
          <w:color w:val="000000"/>
          <w:sz w:val="24"/>
          <w:szCs w:val="24"/>
        </w:rPr>
        <w:t>Laura Martínez</w:t>
      </w:r>
      <w:r>
        <w:rPr>
          <w:rStyle w:val="contentpasted0"/>
          <w:rFonts w:ascii="Muli" w:hAnsi="Muli"/>
          <w:b/>
          <w:bCs/>
          <w:color w:val="000000"/>
          <w:sz w:val="24"/>
          <w:szCs w:val="24"/>
        </w:rPr>
        <w:t> </w:t>
      </w:r>
    </w:p>
    <w:p w14:paraId="1123A794" w14:textId="681BE72C" w:rsidR="00806A9C" w:rsidRPr="00812593" w:rsidRDefault="000E5595" w:rsidP="00806A9C">
      <w:pPr>
        <w:pStyle w:val="xmsonormal"/>
        <w:spacing w:after="160"/>
        <w:jc w:val="center"/>
        <w:rPr>
          <w:rFonts w:ascii="Montserrat" w:hAnsi="Montserrat"/>
          <w:b/>
          <w:bCs/>
          <w:color w:val="243962"/>
          <w:sz w:val="28"/>
          <w:szCs w:val="28"/>
        </w:rPr>
      </w:pPr>
      <w:r>
        <w:rPr>
          <w:rFonts w:ascii="Montserrat" w:hAnsi="Montserrat"/>
          <w:b/>
          <w:bCs/>
          <w:color w:val="243962"/>
          <w:sz w:val="28"/>
          <w:szCs w:val="28"/>
        </w:rPr>
        <w:t>El BCE está cómodo con los tipos de interés al 2%: los man</w:t>
      </w:r>
      <w:r w:rsidR="008C1D1D">
        <w:rPr>
          <w:rFonts w:ascii="Montserrat" w:hAnsi="Montserrat"/>
          <w:b/>
          <w:bCs/>
          <w:color w:val="243962"/>
          <w:sz w:val="28"/>
          <w:szCs w:val="28"/>
        </w:rPr>
        <w:t>tendrá</w:t>
      </w:r>
      <w:r>
        <w:rPr>
          <w:rFonts w:ascii="Montserrat" w:hAnsi="Montserrat"/>
          <w:b/>
          <w:bCs/>
          <w:color w:val="243962"/>
          <w:sz w:val="28"/>
          <w:szCs w:val="28"/>
        </w:rPr>
        <w:t xml:space="preserve"> por </w:t>
      </w:r>
      <w:r w:rsidR="008C1D1D">
        <w:rPr>
          <w:rFonts w:ascii="Montserrat" w:hAnsi="Montserrat"/>
          <w:b/>
          <w:bCs/>
          <w:color w:val="243962"/>
          <w:sz w:val="28"/>
          <w:szCs w:val="28"/>
        </w:rPr>
        <w:t>tercera</w:t>
      </w:r>
      <w:r>
        <w:rPr>
          <w:rFonts w:ascii="Montserrat" w:hAnsi="Montserrat"/>
          <w:b/>
          <w:bCs/>
          <w:color w:val="243962"/>
          <w:sz w:val="28"/>
          <w:szCs w:val="28"/>
        </w:rPr>
        <w:t xml:space="preserve"> vez en ese umbral y aleja la posibilidad de una bajada a corto plazo</w:t>
      </w:r>
    </w:p>
    <w:p w14:paraId="1FE08F8A" w14:textId="77777777" w:rsidR="00806A9C" w:rsidRDefault="00806A9C" w:rsidP="00806A9C">
      <w:pPr>
        <w:rPr>
          <w:rFonts w:ascii="Muli" w:hAnsi="Muli"/>
          <w:sz w:val="24"/>
          <w:szCs w:val="24"/>
        </w:rPr>
      </w:pPr>
    </w:p>
    <w:p w14:paraId="04EF7282" w14:textId="13B4126B" w:rsidR="00806A9C" w:rsidRPr="00AC043F" w:rsidRDefault="00806A9C" w:rsidP="00806A9C">
      <w:pPr>
        <w:rPr>
          <w:rFonts w:ascii="Muli" w:hAnsi="Muli"/>
          <w:sz w:val="24"/>
          <w:szCs w:val="24"/>
        </w:rPr>
      </w:pPr>
      <w:r w:rsidRPr="200BADFB">
        <w:rPr>
          <w:rFonts w:ascii="Muli" w:hAnsi="Muli"/>
          <w:sz w:val="24"/>
          <w:szCs w:val="24"/>
        </w:rPr>
        <w:t xml:space="preserve">Madrid, </w:t>
      </w:r>
      <w:r>
        <w:rPr>
          <w:rFonts w:ascii="Muli" w:hAnsi="Muli"/>
          <w:sz w:val="24"/>
          <w:szCs w:val="24"/>
        </w:rPr>
        <w:t>29 de octubre</w:t>
      </w:r>
      <w:r w:rsidRPr="200BADFB">
        <w:rPr>
          <w:rFonts w:ascii="Muli" w:hAnsi="Muli"/>
          <w:sz w:val="24"/>
          <w:szCs w:val="24"/>
        </w:rPr>
        <w:t xml:space="preserve"> de 2025</w:t>
      </w:r>
    </w:p>
    <w:p w14:paraId="7108A2BD" w14:textId="6E5C43A5" w:rsidR="00806A9C" w:rsidRDefault="00806A9C" w:rsidP="00806A9C">
      <w:pPr>
        <w:pStyle w:val="paragraph"/>
        <w:spacing w:before="240"/>
        <w:textAlignment w:val="baseline"/>
        <w:rPr>
          <w:rFonts w:ascii="Muli" w:hAnsi="Muli"/>
        </w:rPr>
      </w:pPr>
      <w:r w:rsidRPr="000B5564">
        <w:rPr>
          <w:rFonts w:ascii="Muli" w:hAnsi="Muli"/>
        </w:rPr>
        <w:t>“</w:t>
      </w:r>
      <w:r>
        <w:rPr>
          <w:rFonts w:ascii="Muli" w:hAnsi="Muli"/>
        </w:rPr>
        <w:t xml:space="preserve">Sin cambios a la vista. Así está el panorama en lo que se refiere a la situación de los tipos de interés oficiales que controla el Banco Central Europeo (BCE). Este organismo se reúne el jueves día 30, esta vez en Italia, para una nueva cumbre de política monetaria a la que llega ya con una decisión tomada: los tipos de interés no se van a mover del 2%, al menos por ahora. Llevan en ese umbral ya cuatro meses, desde el pasado mes de junio, y la posibilidad de que haya una nueva bajada está cada vez más difusa. </w:t>
      </w:r>
    </w:p>
    <w:p w14:paraId="5F210093" w14:textId="798DE380" w:rsidR="0068053A" w:rsidRDefault="00806A9C" w:rsidP="00806A9C">
      <w:pPr>
        <w:pStyle w:val="paragraph"/>
        <w:spacing w:before="240"/>
        <w:textAlignment w:val="baseline"/>
        <w:rPr>
          <w:rFonts w:ascii="Muli" w:hAnsi="Muli"/>
        </w:rPr>
      </w:pPr>
      <w:r>
        <w:rPr>
          <w:rFonts w:ascii="Muli" w:hAnsi="Muli"/>
        </w:rPr>
        <w:t xml:space="preserve">Es cierto que todavía queda una cita este año, el 18 de diciembre, y </w:t>
      </w:r>
      <w:r w:rsidR="0068053A">
        <w:rPr>
          <w:rFonts w:ascii="Muli" w:hAnsi="Muli"/>
        </w:rPr>
        <w:t>podría ser</w:t>
      </w:r>
      <w:r>
        <w:rPr>
          <w:rFonts w:ascii="Muli" w:hAnsi="Muli"/>
        </w:rPr>
        <w:t xml:space="preserve"> clave para marcar el </w:t>
      </w:r>
      <w:r w:rsidR="0068053A">
        <w:rPr>
          <w:rFonts w:ascii="Muli" w:hAnsi="Muli"/>
        </w:rPr>
        <w:t xml:space="preserve">camino a seguir en </w:t>
      </w:r>
      <w:r>
        <w:rPr>
          <w:rFonts w:ascii="Muli" w:hAnsi="Muli"/>
        </w:rPr>
        <w:t xml:space="preserve">2026. No obstante, ahora parece que todas las alas del BCE (tanto conservadores como liberales) han llegado a un punto común: que los tipos estén al 2% es un punto cómodo, que </w:t>
      </w:r>
      <w:r w:rsidR="000E5595" w:rsidRPr="000E5595">
        <w:rPr>
          <w:rFonts w:ascii="Muli" w:hAnsi="Muli"/>
        </w:rPr>
        <w:t>no frena la economía, pero tampoco alimenta la inflación. Además, ofrece margen para reaccionar si la situación económica empeora.</w:t>
      </w:r>
    </w:p>
    <w:p w14:paraId="3D1AB5AD" w14:textId="77D5BDF5" w:rsidR="000E5595" w:rsidRDefault="000E5595" w:rsidP="00806A9C">
      <w:pPr>
        <w:pStyle w:val="paragraph"/>
        <w:spacing w:before="240"/>
        <w:textAlignment w:val="baseline"/>
        <w:rPr>
          <w:rFonts w:ascii="Muli" w:hAnsi="Muli"/>
        </w:rPr>
      </w:pPr>
      <w:r w:rsidRPr="000E5595">
        <w:rPr>
          <w:rFonts w:ascii="Muli" w:hAnsi="Muli"/>
        </w:rPr>
        <w:t>Por eso, el BCE prefiere esperar y observar cómo evoluciona la inflación subyacente (que excluye los precios de energía y alimentos), antes de decidir si hace algún cambio</w:t>
      </w:r>
      <w:r>
        <w:rPr>
          <w:rFonts w:ascii="Muli" w:hAnsi="Muli"/>
        </w:rPr>
        <w:t xml:space="preserve"> en los tipos de interés</w:t>
      </w:r>
      <w:r w:rsidRPr="000E5595">
        <w:rPr>
          <w:rFonts w:ascii="Muli" w:hAnsi="Muli"/>
        </w:rPr>
        <w:t>. De momento, los datos no acompañan: en septiembre de 2025, la inflación volvió a subir ligeramente, hasta el 2,2%, por encima del objetivo del 2% fijado por el BCE desde 2021. Un objetivo que, cuatro años después, sigue sin alcanzarse y</w:t>
      </w:r>
      <w:r>
        <w:rPr>
          <w:rFonts w:ascii="Muli" w:hAnsi="Muli"/>
        </w:rPr>
        <w:t xml:space="preserve"> que</w:t>
      </w:r>
      <w:r w:rsidRPr="000E5595">
        <w:rPr>
          <w:rFonts w:ascii="Muli" w:hAnsi="Muli"/>
        </w:rPr>
        <w:t xml:space="preserve"> preocupa especialmente a su presidenta, Christine Lagarde.</w:t>
      </w:r>
    </w:p>
    <w:p w14:paraId="098F6E09" w14:textId="72C9A70E" w:rsidR="0068053A" w:rsidRDefault="0068053A" w:rsidP="00806A9C">
      <w:pPr>
        <w:pStyle w:val="paragraph"/>
        <w:spacing w:before="240"/>
        <w:textAlignment w:val="baseline"/>
        <w:rPr>
          <w:rFonts w:ascii="Muli" w:hAnsi="Muli"/>
        </w:rPr>
      </w:pPr>
      <w:r w:rsidRPr="0068053A">
        <w:rPr>
          <w:rFonts w:ascii="Muli" w:hAnsi="Muli"/>
        </w:rPr>
        <w:t>También será determinante la evolución de los salarios, que han seguido creciendo por encima del 3%, y cuyo comportamiento será clave para evitar una segunda ronda inflacionista.</w:t>
      </w:r>
      <w:r>
        <w:rPr>
          <w:rFonts w:ascii="Muli" w:hAnsi="Muli"/>
        </w:rPr>
        <w:t xml:space="preserve"> Así, l</w:t>
      </w:r>
      <w:r w:rsidRPr="0068053A">
        <w:rPr>
          <w:rFonts w:ascii="Muli" w:hAnsi="Muli"/>
        </w:rPr>
        <w:t>os tipos a largo plazo se han estabilizado, y el euro se mantiene relativamente fuerte frente al dólar, lo que también contribuye a contener la presión sobre los precios importados.</w:t>
      </w:r>
      <w:r w:rsidR="000E5595">
        <w:rPr>
          <w:rFonts w:ascii="Muli" w:hAnsi="Muli"/>
        </w:rPr>
        <w:t xml:space="preserve"> </w:t>
      </w:r>
      <w:r w:rsidR="000E5595" w:rsidRPr="000E5595">
        <w:rPr>
          <w:rFonts w:ascii="Muli" w:hAnsi="Muli"/>
        </w:rPr>
        <w:t xml:space="preserve">En definitiva, el BCE quiere transmitir </w:t>
      </w:r>
      <w:r w:rsidR="000E5595">
        <w:rPr>
          <w:rFonts w:ascii="Muli" w:hAnsi="Muli"/>
        </w:rPr>
        <w:t xml:space="preserve">un mensaje </w:t>
      </w:r>
      <w:r w:rsidR="000E5595" w:rsidRPr="000E5595">
        <w:rPr>
          <w:rFonts w:ascii="Muli" w:hAnsi="Muli"/>
        </w:rPr>
        <w:t>de prudencia y control.</w:t>
      </w:r>
    </w:p>
    <w:p w14:paraId="249AF300" w14:textId="6BB9C4DA" w:rsidR="0068053A" w:rsidRDefault="00806A9C" w:rsidP="0068053A">
      <w:pPr>
        <w:pStyle w:val="paragraph"/>
        <w:spacing w:before="240"/>
        <w:textAlignment w:val="baseline"/>
        <w:rPr>
          <w:rFonts w:ascii="Muli" w:hAnsi="Muli"/>
        </w:rPr>
      </w:pPr>
      <w:r w:rsidRPr="000B5564">
        <w:rPr>
          <w:rFonts w:ascii="Muli" w:hAnsi="Muli"/>
        </w:rPr>
        <w:t>¿</w:t>
      </w:r>
      <w:r w:rsidR="000E5595">
        <w:rPr>
          <w:rFonts w:ascii="Muli" w:hAnsi="Muli"/>
        </w:rPr>
        <w:t>Y c</w:t>
      </w:r>
      <w:r>
        <w:rPr>
          <w:rFonts w:ascii="Muli" w:hAnsi="Muli"/>
        </w:rPr>
        <w:t xml:space="preserve">ómo afecta esto a </w:t>
      </w:r>
      <w:r w:rsidRPr="000B5564">
        <w:rPr>
          <w:rFonts w:ascii="Muli" w:hAnsi="Muli"/>
        </w:rPr>
        <w:t>las hipotecas?</w:t>
      </w:r>
      <w:r w:rsidR="000E5595" w:rsidRPr="000E5595">
        <w:t xml:space="preserve"> </w:t>
      </w:r>
      <w:r w:rsidR="000E5595" w:rsidRPr="000E5595">
        <w:rPr>
          <w:rFonts w:ascii="Muli" w:hAnsi="Muli"/>
        </w:rPr>
        <w:t>La decisión del BCE de mantener los tipos de interés en el 2% t</w:t>
      </w:r>
      <w:r w:rsidR="000E5595">
        <w:rPr>
          <w:rFonts w:ascii="Muli" w:hAnsi="Muli"/>
        </w:rPr>
        <w:t>endrá nuevamente</w:t>
      </w:r>
      <w:r w:rsidR="000E5595" w:rsidRPr="000E5595">
        <w:rPr>
          <w:rFonts w:ascii="Muli" w:hAnsi="Muli"/>
        </w:rPr>
        <w:t xml:space="preserve"> efectos directos sobre</w:t>
      </w:r>
      <w:r w:rsidR="000E5595">
        <w:rPr>
          <w:rFonts w:ascii="Muli" w:hAnsi="Muli"/>
        </w:rPr>
        <w:t xml:space="preserve"> las hipotecas, sobre todo las variables, en la que repercute el euríbor. Este índice de referencia lleva tres meses consecutivos al alza, moviéndose en torno al 2,1 o 2,2%. Y no es una buena noticia para las familias hipotecadas que tienen que revisar próximamente sus cuotas porque, pese a que seguirán viendo rebajas en lo que pagan cada mes porque este indicador aún registra </w:t>
      </w:r>
      <w:r w:rsidR="000E5595">
        <w:rPr>
          <w:rFonts w:ascii="Muli" w:hAnsi="Muli"/>
        </w:rPr>
        <w:lastRenderedPageBreak/>
        <w:t xml:space="preserve">valores medios mensuales más bajos que los anotados el año pasado, esos recortes no serán tan elevados como las de otros meses… o como los que podrían registrar si el BCE bajara tipos y el euríbor también se redujera. </w:t>
      </w:r>
    </w:p>
    <w:p w14:paraId="45999B3C" w14:textId="5F8D89BE" w:rsidR="00806A9C" w:rsidRDefault="000E5595" w:rsidP="00806A9C">
      <w:pPr>
        <w:pStyle w:val="paragraph"/>
        <w:spacing w:before="240"/>
        <w:textAlignment w:val="baseline"/>
        <w:rPr>
          <w:rFonts w:ascii="Muli" w:hAnsi="Muli"/>
        </w:rPr>
      </w:pPr>
      <w:r>
        <w:rPr>
          <w:rFonts w:ascii="Muli" w:hAnsi="Muli"/>
        </w:rPr>
        <w:t>Pero también afecta a quienes están buscando ahora hipotecas. En iAhorro ya estamos viendo cómo algunas entidades están haciendo ajustes al alza de sus ofertas hipotecarias. Lo que hace meses eran bajadas tras bajadas, ahora ya no. Hay pocos movimientos y los que hay, no son positivos pese a que todavía se pueden conseguir condiciones tanto en hipoteca fija como mixta muy atractivas para los ciudadanos, en función de su perfil”.</w:t>
      </w:r>
    </w:p>
    <w:p w14:paraId="30E53972" w14:textId="0F4D16C9" w:rsidR="00806A9C" w:rsidRDefault="00806A9C" w:rsidP="00806A9C">
      <w:pPr>
        <w:rPr>
          <w:rStyle w:val="contentpasted0"/>
          <w:rFonts w:ascii="Muli" w:hAnsi="Muli"/>
          <w:color w:val="000000"/>
          <w:sz w:val="24"/>
          <w:szCs w:val="24"/>
          <w:u w:val="single"/>
        </w:rPr>
      </w:pPr>
      <w:r>
        <w:rPr>
          <w:rStyle w:val="contentpasted0"/>
          <w:rFonts w:ascii="Muli" w:hAnsi="Muli"/>
          <w:color w:val="000000"/>
          <w:sz w:val="24"/>
          <w:szCs w:val="24"/>
          <w:u w:val="single"/>
        </w:rPr>
        <w:t>Laura Martínez, portavoz de iAhorro.</w:t>
      </w:r>
    </w:p>
    <w:p w14:paraId="64D98C6D" w14:textId="77777777" w:rsidR="00806A9C" w:rsidRPr="000B5564" w:rsidRDefault="00806A9C" w:rsidP="00806A9C">
      <w:pPr>
        <w:rPr>
          <w:rStyle w:val="contentpasted0"/>
          <w:rFonts w:ascii="Muli" w:hAnsi="Muli"/>
          <w:color w:val="000000"/>
          <w:sz w:val="24"/>
          <w:szCs w:val="24"/>
          <w:u w:val="single"/>
        </w:rPr>
      </w:pPr>
    </w:p>
    <w:p w14:paraId="08ED0C6A" w14:textId="77777777" w:rsidR="00806A9C" w:rsidRDefault="00806A9C" w:rsidP="00806A9C">
      <w:pPr>
        <w:rPr>
          <w:rStyle w:val="contentpasted0"/>
          <w:rFonts w:ascii="Muli" w:hAnsi="Muli"/>
          <w:i/>
          <w:iCs/>
          <w:color w:val="000000"/>
          <w:u w:val="single"/>
        </w:rPr>
      </w:pPr>
    </w:p>
    <w:p w14:paraId="0901F7AF" w14:textId="77777777" w:rsidR="00806A9C" w:rsidRDefault="00806A9C" w:rsidP="00806A9C">
      <w:pPr>
        <w:rPr>
          <w:rStyle w:val="contentpasted0"/>
          <w:rFonts w:ascii="Muli" w:hAnsi="Muli"/>
          <w:i/>
          <w:iCs/>
          <w:color w:val="000000"/>
          <w:u w:val="single"/>
        </w:rPr>
      </w:pPr>
    </w:p>
    <w:p w14:paraId="2B879864" w14:textId="77777777" w:rsidR="00806A9C" w:rsidRDefault="00806A9C" w:rsidP="00806A9C">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33"/>
        <w:gridCol w:w="2537"/>
        <w:gridCol w:w="2522"/>
      </w:tblGrid>
      <w:tr w:rsidR="00806A9C" w:rsidRPr="008B3C70" w14:paraId="5FD3D0DA" w14:textId="77777777" w:rsidTr="00533957">
        <w:trPr>
          <w:trHeight w:val="132"/>
        </w:trPr>
        <w:tc>
          <w:tcPr>
            <w:tcW w:w="1980" w:type="dxa"/>
            <w:tcMar>
              <w:top w:w="0" w:type="dxa"/>
              <w:left w:w="108" w:type="dxa"/>
              <w:bottom w:w="0" w:type="dxa"/>
              <w:right w:w="108" w:type="dxa"/>
            </w:tcMar>
            <w:vAlign w:val="center"/>
            <w:hideMark/>
          </w:tcPr>
          <w:p w14:paraId="0BEE076D" w14:textId="77777777" w:rsidR="00806A9C" w:rsidRDefault="00806A9C" w:rsidP="00533957">
            <w:pPr>
              <w:spacing w:line="252" w:lineRule="auto"/>
              <w:rPr>
                <w:rFonts w:ascii="Aptos" w:hAnsi="Aptos" w:cs="Aptos"/>
                <w:b/>
                <w:bCs/>
                <w:sz w:val="18"/>
                <w:szCs w:val="18"/>
              </w:rPr>
            </w:pPr>
            <w:r>
              <w:rPr>
                <w:noProof/>
              </w:rPr>
              <w:drawing>
                <wp:inline distT="0" distB="0" distL="0" distR="0" wp14:anchorId="5C002BA9" wp14:editId="0D97E4E3">
                  <wp:extent cx="1154109" cy="571500"/>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4">
                            <a:extLst>
                              <a:ext uri="{28A0092B-C50C-407E-A947-70E740481C1C}">
                                <a14:useLocalDpi xmlns:a14="http://schemas.microsoft.com/office/drawing/2010/main" val="0"/>
                              </a:ext>
                            </a:extLst>
                          </a:blip>
                          <a:stretch>
                            <a:fillRect/>
                          </a:stretch>
                        </pic:blipFill>
                        <pic:spPr>
                          <a:xfrm>
                            <a:off x="0" y="0"/>
                            <a:ext cx="1156213" cy="572542"/>
                          </a:xfrm>
                          <a:prstGeom prst="rect">
                            <a:avLst/>
                          </a:prstGeom>
                        </pic:spPr>
                      </pic:pic>
                    </a:graphicData>
                  </a:graphic>
                </wp:inline>
              </w:drawing>
            </w:r>
          </w:p>
        </w:tc>
        <w:tc>
          <w:tcPr>
            <w:tcW w:w="2556" w:type="dxa"/>
            <w:tcMar>
              <w:top w:w="0" w:type="dxa"/>
              <w:left w:w="108" w:type="dxa"/>
              <w:bottom w:w="0" w:type="dxa"/>
              <w:right w:w="108" w:type="dxa"/>
            </w:tcMar>
            <w:vAlign w:val="center"/>
          </w:tcPr>
          <w:p w14:paraId="459FA4EF" w14:textId="77777777" w:rsidR="00806A9C" w:rsidRDefault="00806A9C" w:rsidP="00533957">
            <w:pPr>
              <w:spacing w:line="252" w:lineRule="auto"/>
              <w:jc w:val="center"/>
              <w:rPr>
                <w:b/>
                <w:bCs/>
                <w:sz w:val="18"/>
                <w:szCs w:val="18"/>
              </w:rPr>
            </w:pPr>
          </w:p>
          <w:p w14:paraId="1887317B" w14:textId="77777777" w:rsidR="00806A9C" w:rsidRDefault="00806A9C" w:rsidP="00533957">
            <w:pPr>
              <w:spacing w:line="252" w:lineRule="auto"/>
              <w:jc w:val="center"/>
              <w:rPr>
                <w:b/>
                <w:bCs/>
                <w:sz w:val="18"/>
                <w:szCs w:val="18"/>
              </w:rPr>
            </w:pPr>
          </w:p>
          <w:p w14:paraId="1581E832" w14:textId="77777777" w:rsidR="00806A9C" w:rsidRDefault="00806A9C" w:rsidP="00533957">
            <w:pPr>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5" w:history="1">
              <w:r w:rsidRPr="009D144E">
                <w:rPr>
                  <w:sz w:val="18"/>
                  <w:szCs w:val="18"/>
                </w:rPr>
                <w:t>laura.martinez@iahorro.com</w:t>
              </w:r>
            </w:hyperlink>
          </w:p>
          <w:p w14:paraId="33B57598" w14:textId="77777777" w:rsidR="00806A9C" w:rsidRDefault="00806A9C" w:rsidP="00533957">
            <w:pPr>
              <w:spacing w:line="252" w:lineRule="auto"/>
              <w:jc w:val="center"/>
              <w:rPr>
                <w:b/>
                <w:bCs/>
                <w:sz w:val="18"/>
                <w:szCs w:val="18"/>
                <w:lang w:val="pt-PT"/>
              </w:rPr>
            </w:pPr>
          </w:p>
          <w:p w14:paraId="536D213C" w14:textId="77777777" w:rsidR="00806A9C" w:rsidRDefault="00806A9C" w:rsidP="00533957">
            <w:pPr>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1CA0CC8C" w14:textId="77777777" w:rsidR="00806A9C" w:rsidRDefault="00806A9C" w:rsidP="00533957">
            <w:pPr>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6" w:history="1">
              <w:r>
                <w:rPr>
                  <w:sz w:val="18"/>
                  <w:szCs w:val="18"/>
                  <w:lang w:val="pt-PT"/>
                </w:rPr>
                <w:t>noelia.perez@iahorro.com</w:t>
              </w:r>
            </w:hyperlink>
          </w:p>
        </w:tc>
      </w:tr>
    </w:tbl>
    <w:p w14:paraId="3BBC226A"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uli">
    <w:panose1 w:val="00000000000000000000"/>
    <w:charset w:val="00"/>
    <w:family w:val="auto"/>
    <w:pitch w:val="variable"/>
    <w:sig w:usb0="A00000FF" w:usb1="5000204B" w:usb2="00000000" w:usb3="00000000" w:csb0="00000193" w:csb1="00000000"/>
  </w:font>
  <w:font w:name="Montserrat">
    <w:panose1 w:val="00000500000000000000"/>
    <w:charset w:val="00"/>
    <w:family w:val="modern"/>
    <w:notTrueType/>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A9C"/>
    <w:rsid w:val="000E5595"/>
    <w:rsid w:val="0014369C"/>
    <w:rsid w:val="001B0F85"/>
    <w:rsid w:val="00381D98"/>
    <w:rsid w:val="0068053A"/>
    <w:rsid w:val="00806A9C"/>
    <w:rsid w:val="008C1D1D"/>
    <w:rsid w:val="00D519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BEA61"/>
  <w15:chartTrackingRefBased/>
  <w15:docId w15:val="{0EFCA2D6-0536-4919-9A16-C5D66AE41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806A9C"/>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806A9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14:ligatures w14:val="none"/>
    </w:rPr>
  </w:style>
  <w:style w:type="paragraph" w:styleId="Ttulo2">
    <w:name w:val="heading 2"/>
    <w:basedOn w:val="Normal"/>
    <w:next w:val="Normal"/>
    <w:link w:val="Ttulo2Car"/>
    <w:uiPriority w:val="9"/>
    <w:semiHidden/>
    <w:unhideWhenUsed/>
    <w:qFormat/>
    <w:rsid w:val="00806A9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14:ligatures w14:val="none"/>
    </w:rPr>
  </w:style>
  <w:style w:type="paragraph" w:styleId="Ttulo3">
    <w:name w:val="heading 3"/>
    <w:basedOn w:val="Normal"/>
    <w:next w:val="Normal"/>
    <w:link w:val="Ttulo3Car"/>
    <w:uiPriority w:val="9"/>
    <w:semiHidden/>
    <w:unhideWhenUsed/>
    <w:qFormat/>
    <w:rsid w:val="00806A9C"/>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14:ligatures w14:val="none"/>
    </w:rPr>
  </w:style>
  <w:style w:type="paragraph" w:styleId="Ttulo4">
    <w:name w:val="heading 4"/>
    <w:basedOn w:val="Normal"/>
    <w:next w:val="Normal"/>
    <w:link w:val="Ttulo4Car"/>
    <w:uiPriority w:val="9"/>
    <w:semiHidden/>
    <w:unhideWhenUsed/>
    <w:qFormat/>
    <w:rsid w:val="00806A9C"/>
    <w:pPr>
      <w:keepNext/>
      <w:keepLines/>
      <w:spacing w:before="80" w:after="40" w:line="259" w:lineRule="auto"/>
      <w:outlineLvl w:val="3"/>
    </w:pPr>
    <w:rPr>
      <w:rFonts w:asciiTheme="minorHAnsi" w:eastAsiaTheme="majorEastAsia" w:hAnsiTheme="minorHAnsi" w:cstheme="majorBidi"/>
      <w:i/>
      <w:iCs/>
      <w:color w:val="0F4761" w:themeColor="accent1" w:themeShade="BF"/>
      <w14:ligatures w14:val="none"/>
    </w:rPr>
  </w:style>
  <w:style w:type="paragraph" w:styleId="Ttulo5">
    <w:name w:val="heading 5"/>
    <w:basedOn w:val="Normal"/>
    <w:next w:val="Normal"/>
    <w:link w:val="Ttulo5Car"/>
    <w:uiPriority w:val="9"/>
    <w:semiHidden/>
    <w:unhideWhenUsed/>
    <w:qFormat/>
    <w:rsid w:val="00806A9C"/>
    <w:pPr>
      <w:keepNext/>
      <w:keepLines/>
      <w:spacing w:before="80" w:after="40" w:line="259" w:lineRule="auto"/>
      <w:outlineLvl w:val="4"/>
    </w:pPr>
    <w:rPr>
      <w:rFonts w:asciiTheme="minorHAnsi" w:eastAsiaTheme="majorEastAsia" w:hAnsiTheme="minorHAnsi" w:cstheme="majorBidi"/>
      <w:color w:val="0F4761" w:themeColor="accent1" w:themeShade="BF"/>
      <w14:ligatures w14:val="none"/>
    </w:rPr>
  </w:style>
  <w:style w:type="paragraph" w:styleId="Ttulo6">
    <w:name w:val="heading 6"/>
    <w:basedOn w:val="Normal"/>
    <w:next w:val="Normal"/>
    <w:link w:val="Ttulo6Car"/>
    <w:uiPriority w:val="9"/>
    <w:semiHidden/>
    <w:unhideWhenUsed/>
    <w:qFormat/>
    <w:rsid w:val="00806A9C"/>
    <w:pPr>
      <w:keepNext/>
      <w:keepLines/>
      <w:spacing w:before="40" w:line="259" w:lineRule="auto"/>
      <w:outlineLvl w:val="5"/>
    </w:pPr>
    <w:rPr>
      <w:rFonts w:asciiTheme="minorHAnsi" w:eastAsiaTheme="majorEastAsia" w:hAnsiTheme="minorHAnsi" w:cstheme="majorBidi"/>
      <w:i/>
      <w:iCs/>
      <w:color w:val="595959" w:themeColor="text1" w:themeTint="A6"/>
      <w14:ligatures w14:val="none"/>
    </w:rPr>
  </w:style>
  <w:style w:type="paragraph" w:styleId="Ttulo7">
    <w:name w:val="heading 7"/>
    <w:basedOn w:val="Normal"/>
    <w:next w:val="Normal"/>
    <w:link w:val="Ttulo7Car"/>
    <w:uiPriority w:val="9"/>
    <w:semiHidden/>
    <w:unhideWhenUsed/>
    <w:qFormat/>
    <w:rsid w:val="00806A9C"/>
    <w:pPr>
      <w:keepNext/>
      <w:keepLines/>
      <w:spacing w:before="40" w:line="259" w:lineRule="auto"/>
      <w:outlineLvl w:val="6"/>
    </w:pPr>
    <w:rPr>
      <w:rFonts w:asciiTheme="minorHAnsi" w:eastAsiaTheme="majorEastAsia" w:hAnsiTheme="minorHAnsi" w:cstheme="majorBidi"/>
      <w:color w:val="595959" w:themeColor="text1" w:themeTint="A6"/>
      <w14:ligatures w14:val="none"/>
    </w:rPr>
  </w:style>
  <w:style w:type="paragraph" w:styleId="Ttulo8">
    <w:name w:val="heading 8"/>
    <w:basedOn w:val="Normal"/>
    <w:next w:val="Normal"/>
    <w:link w:val="Ttulo8Car"/>
    <w:uiPriority w:val="9"/>
    <w:semiHidden/>
    <w:unhideWhenUsed/>
    <w:qFormat/>
    <w:rsid w:val="00806A9C"/>
    <w:pPr>
      <w:keepNext/>
      <w:keepLines/>
      <w:spacing w:line="259" w:lineRule="auto"/>
      <w:outlineLvl w:val="7"/>
    </w:pPr>
    <w:rPr>
      <w:rFonts w:asciiTheme="minorHAnsi" w:eastAsiaTheme="majorEastAsia" w:hAnsiTheme="minorHAnsi" w:cstheme="majorBidi"/>
      <w:i/>
      <w:iCs/>
      <w:color w:val="272727" w:themeColor="text1" w:themeTint="D8"/>
      <w14:ligatures w14:val="none"/>
    </w:rPr>
  </w:style>
  <w:style w:type="paragraph" w:styleId="Ttulo9">
    <w:name w:val="heading 9"/>
    <w:basedOn w:val="Normal"/>
    <w:next w:val="Normal"/>
    <w:link w:val="Ttulo9Car"/>
    <w:uiPriority w:val="9"/>
    <w:semiHidden/>
    <w:unhideWhenUsed/>
    <w:qFormat/>
    <w:rsid w:val="00806A9C"/>
    <w:pPr>
      <w:keepNext/>
      <w:keepLines/>
      <w:spacing w:line="259" w:lineRule="auto"/>
      <w:outlineLvl w:val="8"/>
    </w:pPr>
    <w:rPr>
      <w:rFonts w:asciiTheme="minorHAnsi" w:eastAsiaTheme="majorEastAsia" w:hAnsiTheme="minorHAnsi" w:cstheme="majorBidi"/>
      <w:color w:val="272727" w:themeColor="text1" w:themeTint="D8"/>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6A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6A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06A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6A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6A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6A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6A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6A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6A9C"/>
    <w:rPr>
      <w:rFonts w:eastAsiaTheme="majorEastAsia" w:cstheme="majorBidi"/>
      <w:color w:val="272727" w:themeColor="text1" w:themeTint="D8"/>
    </w:rPr>
  </w:style>
  <w:style w:type="paragraph" w:styleId="Ttulo">
    <w:name w:val="Title"/>
    <w:basedOn w:val="Normal"/>
    <w:next w:val="Normal"/>
    <w:link w:val="TtuloCar"/>
    <w:uiPriority w:val="10"/>
    <w:qFormat/>
    <w:rsid w:val="00806A9C"/>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tuloCar">
    <w:name w:val="Título Car"/>
    <w:basedOn w:val="Fuentedeprrafopredeter"/>
    <w:link w:val="Ttulo"/>
    <w:uiPriority w:val="10"/>
    <w:rsid w:val="00806A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6A9C"/>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none"/>
    </w:rPr>
  </w:style>
  <w:style w:type="character" w:customStyle="1" w:styleId="SubttuloCar">
    <w:name w:val="Subtítulo Car"/>
    <w:basedOn w:val="Fuentedeprrafopredeter"/>
    <w:link w:val="Subttulo"/>
    <w:uiPriority w:val="11"/>
    <w:rsid w:val="00806A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6A9C"/>
    <w:pPr>
      <w:spacing w:before="160" w:after="160" w:line="259" w:lineRule="auto"/>
      <w:jc w:val="center"/>
    </w:pPr>
    <w:rPr>
      <w:rFonts w:asciiTheme="minorHAnsi" w:hAnsiTheme="minorHAnsi" w:cstheme="minorBidi"/>
      <w:i/>
      <w:iCs/>
      <w:color w:val="404040" w:themeColor="text1" w:themeTint="BF"/>
      <w14:ligatures w14:val="none"/>
    </w:rPr>
  </w:style>
  <w:style w:type="character" w:customStyle="1" w:styleId="CitaCar">
    <w:name w:val="Cita Car"/>
    <w:basedOn w:val="Fuentedeprrafopredeter"/>
    <w:link w:val="Cita"/>
    <w:uiPriority w:val="29"/>
    <w:rsid w:val="00806A9C"/>
    <w:rPr>
      <w:i/>
      <w:iCs/>
      <w:color w:val="404040" w:themeColor="text1" w:themeTint="BF"/>
    </w:rPr>
  </w:style>
  <w:style w:type="paragraph" w:styleId="Prrafodelista">
    <w:name w:val="List Paragraph"/>
    <w:basedOn w:val="Normal"/>
    <w:uiPriority w:val="34"/>
    <w:qFormat/>
    <w:rsid w:val="00806A9C"/>
    <w:pPr>
      <w:spacing w:after="160" w:line="259" w:lineRule="auto"/>
      <w:ind w:left="720"/>
      <w:contextualSpacing/>
    </w:pPr>
    <w:rPr>
      <w:rFonts w:asciiTheme="minorHAnsi" w:hAnsiTheme="minorHAnsi" w:cstheme="minorBidi"/>
      <w14:ligatures w14:val="none"/>
    </w:rPr>
  </w:style>
  <w:style w:type="character" w:styleId="nfasisintenso">
    <w:name w:val="Intense Emphasis"/>
    <w:basedOn w:val="Fuentedeprrafopredeter"/>
    <w:uiPriority w:val="21"/>
    <w:qFormat/>
    <w:rsid w:val="00806A9C"/>
    <w:rPr>
      <w:i/>
      <w:iCs/>
      <w:color w:val="0F4761" w:themeColor="accent1" w:themeShade="BF"/>
    </w:rPr>
  </w:style>
  <w:style w:type="paragraph" w:styleId="Citadestacada">
    <w:name w:val="Intense Quote"/>
    <w:basedOn w:val="Normal"/>
    <w:next w:val="Normal"/>
    <w:link w:val="CitadestacadaCar"/>
    <w:uiPriority w:val="30"/>
    <w:qFormat/>
    <w:rsid w:val="00806A9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14:ligatures w14:val="none"/>
    </w:rPr>
  </w:style>
  <w:style w:type="character" w:customStyle="1" w:styleId="CitadestacadaCar">
    <w:name w:val="Cita destacada Car"/>
    <w:basedOn w:val="Fuentedeprrafopredeter"/>
    <w:link w:val="Citadestacada"/>
    <w:uiPriority w:val="30"/>
    <w:rsid w:val="00806A9C"/>
    <w:rPr>
      <w:i/>
      <w:iCs/>
      <w:color w:val="0F4761" w:themeColor="accent1" w:themeShade="BF"/>
    </w:rPr>
  </w:style>
  <w:style w:type="character" w:styleId="Referenciaintensa">
    <w:name w:val="Intense Reference"/>
    <w:basedOn w:val="Fuentedeprrafopredeter"/>
    <w:uiPriority w:val="32"/>
    <w:qFormat/>
    <w:rsid w:val="00806A9C"/>
    <w:rPr>
      <w:b/>
      <w:bCs/>
      <w:smallCaps/>
      <w:color w:val="0F4761" w:themeColor="accent1" w:themeShade="BF"/>
      <w:spacing w:val="5"/>
    </w:rPr>
  </w:style>
  <w:style w:type="character" w:customStyle="1" w:styleId="contentpasted0">
    <w:name w:val="contentpasted0"/>
    <w:basedOn w:val="Fuentedeprrafopredeter"/>
    <w:rsid w:val="00806A9C"/>
  </w:style>
  <w:style w:type="paragraph" w:customStyle="1" w:styleId="xmsonormal">
    <w:name w:val="x_msonormal"/>
    <w:basedOn w:val="Normal"/>
    <w:uiPriority w:val="99"/>
    <w:rsid w:val="00806A9C"/>
    <w:rPr>
      <w:lang w:eastAsia="es-ES"/>
      <w14:ligatures w14:val="none"/>
    </w:rPr>
  </w:style>
  <w:style w:type="paragraph" w:customStyle="1" w:styleId="paragraph">
    <w:name w:val="paragraph"/>
    <w:basedOn w:val="Normal"/>
    <w:rsid w:val="00806A9C"/>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Fuentedeprrafopredeter"/>
    <w:rsid w:val="0080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elia.perez@iahorro.com" TargetMode="Externa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563</Words>
  <Characters>3100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1</cp:revision>
  <dcterms:created xsi:type="dcterms:W3CDTF">2025-10-29T09:50:00Z</dcterms:created>
  <dcterms:modified xsi:type="dcterms:W3CDTF">2025-10-29T10:21:00Z</dcterms:modified>
</cp:coreProperties>
</file>