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5A619" w14:textId="4CCCD127" w:rsidR="00CC40F5" w:rsidRDefault="00CC40F5" w:rsidP="00CC40F5">
      <w:pPr>
        <w:spacing w:after="160"/>
        <w:jc w:val="center"/>
        <w:rPr>
          <w:rFonts w:ascii="Times New Roman" w:hAnsi="Times New Roman" w:cs="Times New Roman"/>
          <w:color w:val="000000"/>
          <w:sz w:val="24"/>
          <w:szCs w:val="24"/>
        </w:rPr>
      </w:pPr>
      <w:r>
        <w:rPr>
          <w:rStyle w:val="contentpasted0"/>
          <w:rFonts w:ascii="Muli" w:hAnsi="Muli"/>
          <w:b/>
          <w:bCs/>
          <w:color w:val="000000"/>
          <w:sz w:val="24"/>
          <w:szCs w:val="24"/>
        </w:rPr>
        <w:t xml:space="preserve">Análisis de </w:t>
      </w:r>
      <w:r w:rsidR="00084D88">
        <w:rPr>
          <w:rStyle w:val="contentpasted0"/>
          <w:rFonts w:ascii="Muli" w:hAnsi="Muli"/>
          <w:b/>
          <w:bCs/>
          <w:color w:val="000000"/>
          <w:sz w:val="24"/>
          <w:szCs w:val="24"/>
        </w:rPr>
        <w:t>los datos del INE</w:t>
      </w:r>
      <w:r>
        <w:rPr>
          <w:rStyle w:val="contentpasted0"/>
          <w:rFonts w:ascii="Muli" w:hAnsi="Muli"/>
          <w:b/>
          <w:bCs/>
          <w:color w:val="000000"/>
          <w:sz w:val="24"/>
          <w:szCs w:val="24"/>
        </w:rPr>
        <w:t>, por Simone Colombelli </w:t>
      </w:r>
    </w:p>
    <w:p w14:paraId="41CCB65E" w14:textId="3CA22C67" w:rsidR="00CC40F5" w:rsidRDefault="00AF342D" w:rsidP="00AF342D">
      <w:pPr>
        <w:jc w:val="center"/>
        <w:rPr>
          <w:rFonts w:ascii="Montserrat" w:hAnsi="Montserrat"/>
          <w:b/>
          <w:bCs/>
          <w:color w:val="243962"/>
          <w:sz w:val="28"/>
          <w:szCs w:val="28"/>
          <w:lang w:eastAsia="es-ES"/>
          <w14:ligatures w14:val="none"/>
        </w:rPr>
      </w:pPr>
      <w:r w:rsidRPr="00AF342D">
        <w:rPr>
          <w:rFonts w:ascii="Montserrat" w:hAnsi="Montserrat"/>
          <w:b/>
          <w:bCs/>
          <w:color w:val="243962"/>
          <w:sz w:val="28"/>
          <w:szCs w:val="28"/>
          <w:lang w:eastAsia="es-ES"/>
          <w14:ligatures w14:val="none"/>
        </w:rPr>
        <w:t>La firma de hipotecas sigue subiendo en España, pero su importe medio se dispara un 16,2%, según el INE</w:t>
      </w:r>
    </w:p>
    <w:p w14:paraId="753DD1A4" w14:textId="77777777" w:rsidR="005A60D7" w:rsidRDefault="005A60D7" w:rsidP="00AF342D">
      <w:pPr>
        <w:jc w:val="center"/>
        <w:rPr>
          <w:rFonts w:ascii="Montserrat" w:hAnsi="Montserrat"/>
          <w:b/>
          <w:bCs/>
          <w:color w:val="243962"/>
          <w:sz w:val="28"/>
          <w:szCs w:val="28"/>
          <w:lang w:eastAsia="es-ES"/>
          <w14:ligatures w14:val="none"/>
        </w:rPr>
      </w:pPr>
    </w:p>
    <w:p w14:paraId="12033393" w14:textId="77777777" w:rsidR="00AF342D" w:rsidRDefault="00AF342D" w:rsidP="00CC40F5">
      <w:pPr>
        <w:rPr>
          <w:rFonts w:ascii="Muli" w:hAnsi="Muli"/>
          <w:sz w:val="24"/>
          <w:szCs w:val="24"/>
        </w:rPr>
      </w:pPr>
    </w:p>
    <w:p w14:paraId="657D0E0F" w14:textId="61FCDFF1" w:rsidR="00CC40F5" w:rsidRDefault="00CC40F5" w:rsidP="00CC40F5">
      <w:pPr>
        <w:rPr>
          <w:rFonts w:ascii="Muli" w:hAnsi="Muli"/>
          <w:sz w:val="24"/>
          <w:szCs w:val="24"/>
        </w:rPr>
      </w:pPr>
      <w:r w:rsidRPr="200BADFB">
        <w:rPr>
          <w:rFonts w:ascii="Muli" w:hAnsi="Muli"/>
          <w:sz w:val="24"/>
          <w:szCs w:val="24"/>
        </w:rPr>
        <w:t xml:space="preserve">Madrid, </w:t>
      </w:r>
      <w:r w:rsidR="00AF342D">
        <w:rPr>
          <w:rFonts w:ascii="Muli" w:hAnsi="Muli"/>
          <w:sz w:val="24"/>
          <w:szCs w:val="24"/>
        </w:rPr>
        <w:t>24</w:t>
      </w:r>
      <w:r w:rsidR="00A916F8" w:rsidRPr="200BADFB">
        <w:rPr>
          <w:rFonts w:ascii="Muli" w:hAnsi="Muli"/>
          <w:sz w:val="24"/>
          <w:szCs w:val="24"/>
        </w:rPr>
        <w:t xml:space="preserve"> de abril</w:t>
      </w:r>
      <w:r w:rsidRPr="200BADFB">
        <w:rPr>
          <w:rFonts w:ascii="Muli" w:hAnsi="Muli"/>
          <w:sz w:val="24"/>
          <w:szCs w:val="24"/>
        </w:rPr>
        <w:t xml:space="preserve"> de 2025</w:t>
      </w:r>
    </w:p>
    <w:p w14:paraId="0F5B1F23" w14:textId="472C336E" w:rsidR="005A60D7" w:rsidRDefault="009E7BAE" w:rsidP="00084D88">
      <w:pPr>
        <w:pStyle w:val="paragraph"/>
        <w:spacing w:before="240"/>
        <w:textAlignment w:val="baseline"/>
        <w:rPr>
          <w:rStyle w:val="normaltextrun"/>
          <w:rFonts w:ascii="Muli" w:hAnsi="Muli"/>
        </w:rPr>
      </w:pPr>
      <w:r w:rsidRPr="200BADFB">
        <w:rPr>
          <w:rStyle w:val="normaltextrun"/>
          <w:rFonts w:ascii="Muli" w:hAnsi="Muli"/>
        </w:rPr>
        <w:t>“</w:t>
      </w:r>
      <w:r w:rsidR="00084D88" w:rsidRPr="00084D88">
        <w:rPr>
          <w:rStyle w:val="normaltextrun"/>
          <w:rFonts w:ascii="Muli" w:hAnsi="Muli"/>
        </w:rPr>
        <w:t xml:space="preserve">La mejora del mercado hipotecario </w:t>
      </w:r>
      <w:r w:rsidR="005A60D7">
        <w:rPr>
          <w:rStyle w:val="normaltextrun"/>
          <w:rFonts w:ascii="Muli" w:hAnsi="Muli"/>
        </w:rPr>
        <w:t xml:space="preserve">ya </w:t>
      </w:r>
      <w:r w:rsidR="00084D88" w:rsidRPr="00084D88">
        <w:rPr>
          <w:rStyle w:val="normaltextrun"/>
          <w:rFonts w:ascii="Muli" w:hAnsi="Muli"/>
        </w:rPr>
        <w:t xml:space="preserve">es más que evidente. Este jueves, 24 de abril, el Instituto Nacional de Estadística </w:t>
      </w:r>
      <w:r w:rsidR="005A60D7">
        <w:rPr>
          <w:rStyle w:val="normaltextrun"/>
          <w:rFonts w:ascii="Muli" w:hAnsi="Muli"/>
        </w:rPr>
        <w:t xml:space="preserve">(INE) </w:t>
      </w:r>
      <w:r w:rsidR="00084D88" w:rsidRPr="00084D88">
        <w:rPr>
          <w:rStyle w:val="normaltextrun"/>
          <w:rFonts w:ascii="Muli" w:hAnsi="Muli"/>
        </w:rPr>
        <w:t xml:space="preserve">ha publicado nuevos datos sobre la firma de hipotecas en España, los correspondientes al mes de febrero de este año 2025. Y reflejan una clara tendencia al alza del sector. Por un lado, el INE aporta un volumen medio de hipotecas sobre vivienda firmadas en España durante el segundo mes de 2025 de </w:t>
      </w:r>
      <w:r w:rsidR="00084D88">
        <w:rPr>
          <w:rStyle w:val="normaltextrun"/>
          <w:rFonts w:ascii="Muli" w:hAnsi="Muli"/>
        </w:rPr>
        <w:t>39.084</w:t>
      </w:r>
      <w:r w:rsidR="00084D88" w:rsidRPr="00084D88">
        <w:rPr>
          <w:rStyle w:val="normaltextrun"/>
          <w:rFonts w:ascii="Muli" w:hAnsi="Muli"/>
        </w:rPr>
        <w:t xml:space="preserve"> contrataciones, lo que supone un aumento de </w:t>
      </w:r>
      <w:r w:rsidR="00084D88">
        <w:rPr>
          <w:rStyle w:val="normaltextrun"/>
          <w:rFonts w:ascii="Muli" w:hAnsi="Muli"/>
        </w:rPr>
        <w:t>4,3</w:t>
      </w:r>
      <w:r w:rsidR="00084D88" w:rsidRPr="00084D88">
        <w:rPr>
          <w:rStyle w:val="normaltextrun"/>
          <w:rFonts w:ascii="Muli" w:hAnsi="Muli"/>
        </w:rPr>
        <w:t xml:space="preserve">% respecto al dato recogido por el organismo oficial </w:t>
      </w:r>
      <w:r w:rsidR="005A60D7">
        <w:rPr>
          <w:rStyle w:val="normaltextrun"/>
          <w:rFonts w:ascii="Muli" w:hAnsi="Muli"/>
        </w:rPr>
        <w:t>en</w:t>
      </w:r>
      <w:r w:rsidR="00084D88" w:rsidRPr="00084D88">
        <w:rPr>
          <w:rStyle w:val="normaltextrun"/>
          <w:rFonts w:ascii="Muli" w:hAnsi="Muli"/>
        </w:rPr>
        <w:t xml:space="preserve"> el mismo mes de 2024</w:t>
      </w:r>
      <w:r w:rsidR="005A60D7">
        <w:rPr>
          <w:rStyle w:val="normaltextrun"/>
          <w:rFonts w:ascii="Muli" w:hAnsi="Muli"/>
        </w:rPr>
        <w:t xml:space="preserve"> (</w:t>
      </w:r>
      <w:r w:rsidR="005A60D7" w:rsidRPr="005A60D7">
        <w:rPr>
          <w:rStyle w:val="normaltextrun"/>
          <w:rFonts w:ascii="Muli" w:hAnsi="Muli"/>
        </w:rPr>
        <w:t>37.467</w:t>
      </w:r>
      <w:r w:rsidR="005A60D7">
        <w:rPr>
          <w:rStyle w:val="normaltextrun"/>
          <w:rFonts w:ascii="Muli" w:hAnsi="Muli"/>
        </w:rPr>
        <w:t>)</w:t>
      </w:r>
      <w:r w:rsidR="00084D88" w:rsidRPr="00084D88">
        <w:rPr>
          <w:rStyle w:val="normaltextrun"/>
          <w:rFonts w:ascii="Muli" w:hAnsi="Muli"/>
        </w:rPr>
        <w:t>.</w:t>
      </w:r>
    </w:p>
    <w:p w14:paraId="507F8EA9" w14:textId="5B680275" w:rsidR="005A60D7" w:rsidRDefault="005A60D7" w:rsidP="00084D88">
      <w:pPr>
        <w:pStyle w:val="paragraph"/>
        <w:spacing w:before="240"/>
        <w:textAlignment w:val="baseline"/>
        <w:rPr>
          <w:rStyle w:val="normaltextrun"/>
          <w:rFonts w:ascii="Muli" w:hAnsi="Muli"/>
        </w:rPr>
      </w:pPr>
      <w:r>
        <w:rPr>
          <w:rStyle w:val="normaltextrun"/>
          <w:rFonts w:ascii="Muli" w:hAnsi="Muli"/>
        </w:rPr>
        <w:t xml:space="preserve">Pero si comparamos, además, los datos que llevamos de año (enero y febrero) con los de ejercicios anteriores, el ascenso es todavía más significativo. Solo durante los dos primeros meses de 2025 se han firmado 77.142 hipotecas en España, lo que supone un 8,79% más que durante el mismo periodo de 2024. </w:t>
      </w:r>
      <w:r w:rsidR="00084D88" w:rsidRPr="00084D88">
        <w:rPr>
          <w:rStyle w:val="normaltextrun"/>
          <w:rFonts w:ascii="Muli" w:hAnsi="Muli"/>
        </w:rPr>
        <w:t>Esta, sin duda, es</w:t>
      </w:r>
      <w:r>
        <w:rPr>
          <w:rStyle w:val="normaltextrun"/>
          <w:rFonts w:ascii="Muli" w:hAnsi="Muli"/>
        </w:rPr>
        <w:t xml:space="preserve"> la</w:t>
      </w:r>
      <w:r w:rsidR="00084D88" w:rsidRPr="00084D88">
        <w:rPr>
          <w:rStyle w:val="normaltextrun"/>
          <w:rFonts w:ascii="Muli" w:hAnsi="Muli"/>
        </w:rPr>
        <w:t xml:space="preserve"> mejor noticia para el mercado hipotecario</w:t>
      </w:r>
      <w:r w:rsidR="00084D88">
        <w:rPr>
          <w:rStyle w:val="normaltextrun"/>
          <w:rFonts w:ascii="Muli" w:hAnsi="Muli"/>
        </w:rPr>
        <w:t xml:space="preserve">, </w:t>
      </w:r>
      <w:r w:rsidR="00084D88" w:rsidRPr="00084D88">
        <w:rPr>
          <w:rStyle w:val="normaltextrun"/>
          <w:rFonts w:ascii="Muli" w:hAnsi="Muli"/>
        </w:rPr>
        <w:t>porque</w:t>
      </w:r>
      <w:r>
        <w:rPr>
          <w:rStyle w:val="normaltextrun"/>
          <w:rFonts w:ascii="Muli" w:hAnsi="Muli"/>
        </w:rPr>
        <w:t xml:space="preserve"> significa que</w:t>
      </w:r>
      <w:r w:rsidR="00084D88" w:rsidRPr="00084D88">
        <w:rPr>
          <w:rStyle w:val="normaltextrun"/>
          <w:rFonts w:ascii="Muli" w:hAnsi="Muli"/>
        </w:rPr>
        <w:t xml:space="preserve"> la gente sigue interesada en comprar e hipotecar vivienda pese a la subida de precios. </w:t>
      </w:r>
    </w:p>
    <w:p w14:paraId="709BCD40" w14:textId="48E6DBCF" w:rsidR="005A60D7" w:rsidRDefault="00084D88" w:rsidP="00084D88">
      <w:pPr>
        <w:pStyle w:val="paragraph"/>
        <w:spacing w:before="240"/>
        <w:textAlignment w:val="baseline"/>
        <w:rPr>
          <w:rStyle w:val="normaltextrun"/>
          <w:rFonts w:ascii="Muli" w:hAnsi="Muli"/>
        </w:rPr>
      </w:pPr>
      <w:r w:rsidRPr="00084D88">
        <w:rPr>
          <w:rStyle w:val="normaltextrun"/>
          <w:rFonts w:ascii="Muli" w:hAnsi="Muli"/>
        </w:rPr>
        <w:t xml:space="preserve">Y aquí entra otro </w:t>
      </w:r>
      <w:r w:rsidR="005A60D7">
        <w:rPr>
          <w:rStyle w:val="normaltextrun"/>
          <w:rFonts w:ascii="Muli" w:hAnsi="Muli"/>
        </w:rPr>
        <w:t>factor clave</w:t>
      </w:r>
      <w:r w:rsidRPr="00084D88">
        <w:rPr>
          <w:rStyle w:val="normaltextrun"/>
          <w:rFonts w:ascii="Muli" w:hAnsi="Muli"/>
        </w:rPr>
        <w:t>, el ascenso del precio medio financiado en los préstamos hipotecarios.</w:t>
      </w:r>
      <w:r w:rsidR="005A60D7">
        <w:rPr>
          <w:rStyle w:val="normaltextrun"/>
          <w:rFonts w:ascii="Muli" w:hAnsi="Muli"/>
        </w:rPr>
        <w:t xml:space="preserve"> </w:t>
      </w:r>
      <w:r w:rsidRPr="00084D88">
        <w:rPr>
          <w:rStyle w:val="normaltextrun"/>
          <w:rFonts w:ascii="Muli" w:hAnsi="Muli"/>
        </w:rPr>
        <w:t xml:space="preserve">Según el organismo oficial, el precio medio de las hipotecas firmadas en febrero de 2025 en </w:t>
      </w:r>
      <w:r w:rsidR="009D18AD" w:rsidRPr="00084D88">
        <w:rPr>
          <w:rStyle w:val="normaltextrun"/>
          <w:rFonts w:ascii="Muli" w:hAnsi="Muli"/>
        </w:rPr>
        <w:t>España</w:t>
      </w:r>
      <w:r w:rsidRPr="00084D88">
        <w:rPr>
          <w:rStyle w:val="normaltextrun"/>
          <w:rFonts w:ascii="Muli" w:hAnsi="Muli"/>
        </w:rPr>
        <w:t xml:space="preserve"> se </w:t>
      </w:r>
      <w:r w:rsidR="00D340D9" w:rsidRPr="00084D88">
        <w:rPr>
          <w:rStyle w:val="normaltextrun"/>
          <w:rFonts w:ascii="Muli" w:hAnsi="Muli"/>
        </w:rPr>
        <w:t>situó</w:t>
      </w:r>
      <w:r w:rsidRPr="00084D88">
        <w:rPr>
          <w:rStyle w:val="normaltextrun"/>
          <w:rFonts w:ascii="Muli" w:hAnsi="Muli"/>
        </w:rPr>
        <w:t xml:space="preserve"> en los </w:t>
      </w:r>
      <w:r w:rsidR="00D340D9">
        <w:rPr>
          <w:rStyle w:val="normaltextrun"/>
          <w:rFonts w:ascii="Muli" w:hAnsi="Muli"/>
        </w:rPr>
        <w:t>157.018</w:t>
      </w:r>
      <w:r w:rsidRPr="00084D88">
        <w:rPr>
          <w:rStyle w:val="normaltextrun"/>
          <w:rFonts w:ascii="Muli" w:hAnsi="Muli"/>
        </w:rPr>
        <w:t xml:space="preserve"> euros, lo que supone un incremento de hasta el </w:t>
      </w:r>
      <w:r w:rsidR="00D340D9">
        <w:rPr>
          <w:rStyle w:val="normaltextrun"/>
          <w:rFonts w:ascii="Muli" w:hAnsi="Muli"/>
        </w:rPr>
        <w:t>16,2</w:t>
      </w:r>
      <w:r w:rsidRPr="00084D88">
        <w:rPr>
          <w:rStyle w:val="normaltextrun"/>
          <w:rFonts w:ascii="Muli" w:hAnsi="Muli"/>
        </w:rPr>
        <w:t>% respecto al segundo mes del año pasado</w:t>
      </w:r>
      <w:r w:rsidR="005A60D7">
        <w:rPr>
          <w:rStyle w:val="normaltextrun"/>
          <w:rFonts w:ascii="Muli" w:hAnsi="Muli"/>
        </w:rPr>
        <w:t xml:space="preserve"> (</w:t>
      </w:r>
      <w:r w:rsidR="005A60D7" w:rsidRPr="005A60D7">
        <w:rPr>
          <w:rStyle w:val="normaltextrun"/>
          <w:rFonts w:ascii="Muli" w:hAnsi="Muli"/>
        </w:rPr>
        <w:t>137.169</w:t>
      </w:r>
      <w:r w:rsidR="005A60D7">
        <w:rPr>
          <w:rStyle w:val="normaltextrun"/>
          <w:rFonts w:ascii="Muli" w:hAnsi="Muli"/>
        </w:rPr>
        <w:t>)</w:t>
      </w:r>
      <w:r w:rsidRPr="00084D88">
        <w:rPr>
          <w:rStyle w:val="normaltextrun"/>
          <w:rFonts w:ascii="Muli" w:hAnsi="Muli"/>
        </w:rPr>
        <w:t xml:space="preserve">. Pero esta subida de precios se está compensando en cierto modo con la rebaja de los tipos de interés. </w:t>
      </w:r>
    </w:p>
    <w:p w14:paraId="112B9047" w14:textId="2D16EDAC" w:rsidR="00084D88" w:rsidRPr="00084D88" w:rsidRDefault="00084D88" w:rsidP="00084D88">
      <w:pPr>
        <w:pStyle w:val="paragraph"/>
        <w:spacing w:before="240"/>
        <w:textAlignment w:val="baseline"/>
        <w:rPr>
          <w:rStyle w:val="normaltextrun"/>
          <w:rFonts w:ascii="Muli" w:hAnsi="Muli"/>
        </w:rPr>
      </w:pPr>
      <w:r w:rsidRPr="00084D88">
        <w:rPr>
          <w:rStyle w:val="normaltextrun"/>
          <w:rFonts w:ascii="Muli" w:hAnsi="Muli"/>
        </w:rPr>
        <w:t>Pese a que el INE asegura que el TIN medio firmado por los españoles en hipoteca fija se sitúa ahora mismo en el 3,10% nosotros</w:t>
      </w:r>
      <w:r w:rsidR="005A60D7">
        <w:rPr>
          <w:rStyle w:val="normaltextrun"/>
          <w:rFonts w:ascii="Muli" w:hAnsi="Muli"/>
        </w:rPr>
        <w:t>, en iAhorro,</w:t>
      </w:r>
      <w:r w:rsidRPr="00084D88">
        <w:rPr>
          <w:rStyle w:val="normaltextrun"/>
          <w:rFonts w:ascii="Muli" w:hAnsi="Muli"/>
        </w:rPr>
        <w:t xml:space="preserve"> ya estamos viendo bastantes hipotecas fijas al 2% TIN e, incluso, para los perfiles más atractivos para la banca, las entidades llegan a ofrecer hasta un 1,75% TIN. Esto en hipoteca fija, pero en mixta (que el INE no contempla este producto) las condiciones son aún mejores para la parte fija: una hipoteca mixta a 3 o 5 años ya está alrededor del 1% TIN o por debajo. Y en lo que respecta a los tipos variables el INE los rebaja hasta el 2,73%. </w:t>
      </w:r>
    </w:p>
    <w:p w14:paraId="091DB413" w14:textId="697C5C5F" w:rsidR="00084D88" w:rsidRDefault="00084D88" w:rsidP="00084D88">
      <w:pPr>
        <w:pStyle w:val="paragraph"/>
        <w:spacing w:before="240"/>
        <w:textAlignment w:val="baseline"/>
        <w:rPr>
          <w:rStyle w:val="normaltextrun"/>
          <w:rFonts w:ascii="Muli" w:hAnsi="Muli"/>
        </w:rPr>
      </w:pPr>
      <w:r w:rsidRPr="00084D88">
        <w:rPr>
          <w:rStyle w:val="normaltextrun"/>
          <w:rFonts w:ascii="Muli" w:hAnsi="Muli"/>
        </w:rPr>
        <w:t xml:space="preserve">No obstante, de todos los usuarios que solicitaron la ayuda de iAhorro en febrero de 2025, solo un </w:t>
      </w:r>
      <w:r w:rsidR="005A60D7">
        <w:rPr>
          <w:rStyle w:val="normaltextrun"/>
          <w:rFonts w:ascii="Muli" w:hAnsi="Muli"/>
        </w:rPr>
        <w:t>3,31</w:t>
      </w:r>
      <w:r w:rsidRPr="00084D88">
        <w:rPr>
          <w:rStyle w:val="normaltextrun"/>
          <w:rFonts w:ascii="Muli" w:hAnsi="Muli"/>
        </w:rPr>
        <w:t xml:space="preserve">% contrató este tipo de préstamo sobre vivienda, por el </w:t>
      </w:r>
      <w:r w:rsidR="005A60D7">
        <w:rPr>
          <w:rStyle w:val="normaltextrun"/>
          <w:rFonts w:ascii="Muli" w:hAnsi="Muli"/>
        </w:rPr>
        <w:t>38,41</w:t>
      </w:r>
      <w:r w:rsidRPr="00084D88">
        <w:rPr>
          <w:rStyle w:val="normaltextrun"/>
          <w:rFonts w:ascii="Muli" w:hAnsi="Muli"/>
        </w:rPr>
        <w:t xml:space="preserve">% que </w:t>
      </w:r>
      <w:r w:rsidR="005A60D7">
        <w:rPr>
          <w:rStyle w:val="normaltextrun"/>
          <w:rFonts w:ascii="Muli" w:hAnsi="Muli"/>
        </w:rPr>
        <w:t>se decantó por la</w:t>
      </w:r>
      <w:r w:rsidRPr="00084D88">
        <w:rPr>
          <w:rStyle w:val="normaltextrun"/>
          <w:rFonts w:ascii="Muli" w:hAnsi="Muli"/>
        </w:rPr>
        <w:t xml:space="preserve"> fija y el </w:t>
      </w:r>
      <w:r w:rsidR="005A60D7">
        <w:rPr>
          <w:rStyle w:val="normaltextrun"/>
          <w:rFonts w:ascii="Muli" w:hAnsi="Muli"/>
        </w:rPr>
        <w:t>58,28</w:t>
      </w:r>
      <w:r w:rsidRPr="00084D88">
        <w:rPr>
          <w:rStyle w:val="normaltextrun"/>
          <w:rFonts w:ascii="Muli" w:hAnsi="Muli"/>
        </w:rPr>
        <w:t xml:space="preserve">% que firmó mixta. Por tanto, podríamos confirmar que las hipotecas variables siguen siendo muy poco interesantes para los ciudadanos y, al menos, hasta que el </w:t>
      </w:r>
      <w:r w:rsidRPr="00084D88">
        <w:rPr>
          <w:rStyle w:val="normaltextrun"/>
          <w:rFonts w:ascii="Muli" w:hAnsi="Muli"/>
        </w:rPr>
        <w:lastRenderedPageBreak/>
        <w:t>euríbor no baje del 2% (en febrero cerró en el 2</w:t>
      </w:r>
      <w:r w:rsidR="00154772">
        <w:rPr>
          <w:rStyle w:val="normaltextrun"/>
          <w:rFonts w:ascii="Muli" w:hAnsi="Muli"/>
        </w:rPr>
        <w:t>,407</w:t>
      </w:r>
      <w:r w:rsidRPr="00084D88">
        <w:rPr>
          <w:rStyle w:val="normaltextrun"/>
          <w:rFonts w:ascii="Muli" w:hAnsi="Muli"/>
        </w:rPr>
        <w:t xml:space="preserve">% y ahora esta, a falta de </w:t>
      </w:r>
      <w:r w:rsidR="003B6237">
        <w:rPr>
          <w:rStyle w:val="normaltextrun"/>
          <w:rFonts w:ascii="Muli" w:hAnsi="Muli"/>
        </w:rPr>
        <w:t>6</w:t>
      </w:r>
      <w:r w:rsidRPr="00084D88">
        <w:rPr>
          <w:rStyle w:val="normaltextrun"/>
          <w:rFonts w:ascii="Muli" w:hAnsi="Muli"/>
        </w:rPr>
        <w:t xml:space="preserve"> días para cerrar abril</w:t>
      </w:r>
      <w:r w:rsidR="009B345B">
        <w:rPr>
          <w:rStyle w:val="normaltextrun"/>
          <w:rFonts w:ascii="Muli" w:hAnsi="Muli"/>
        </w:rPr>
        <w:t>,</w:t>
      </w:r>
      <w:r w:rsidRPr="00084D88">
        <w:rPr>
          <w:rStyle w:val="normaltextrun"/>
          <w:rFonts w:ascii="Muli" w:hAnsi="Muli"/>
        </w:rPr>
        <w:t xml:space="preserve"> en el 2,168%) seguirán siendo la última opción. </w:t>
      </w:r>
    </w:p>
    <w:p w14:paraId="637C356D" w14:textId="187F0F94" w:rsidR="00550940" w:rsidRDefault="00084D88" w:rsidP="00084D88">
      <w:pPr>
        <w:pStyle w:val="paragraph"/>
        <w:spacing w:before="240"/>
        <w:textAlignment w:val="baseline"/>
        <w:rPr>
          <w:rStyle w:val="normaltextrun"/>
          <w:rFonts w:ascii="Muli" w:hAnsi="Muli"/>
        </w:rPr>
      </w:pPr>
      <w:r w:rsidRPr="00084D88">
        <w:rPr>
          <w:rStyle w:val="normaltextrun"/>
          <w:rFonts w:ascii="Muli" w:hAnsi="Muli"/>
        </w:rPr>
        <w:t>De este modo, sobre todo en lo que respecta a tipos de interés, desde iAhorro consideramos que los datos que recoge el INE no son representativos de la situación del mercado hipotecario actual general</w:t>
      </w:r>
      <w:r w:rsidR="005A60D7">
        <w:rPr>
          <w:rStyle w:val="normaltextrun"/>
          <w:rFonts w:ascii="Muli" w:hAnsi="Muli"/>
        </w:rPr>
        <w:t>, ya que refleja una realidad muy dispar a lo que se puede conseguir en caso de que los ciudadanes comparen y negocien sus ofertas hipotecarias</w:t>
      </w:r>
      <w:r w:rsidRPr="00084D88">
        <w:rPr>
          <w:rStyle w:val="normaltextrun"/>
          <w:rFonts w:ascii="Muli" w:hAnsi="Muli"/>
        </w:rPr>
        <w:t>.</w:t>
      </w:r>
      <w:r w:rsidR="00726DA0" w:rsidRPr="200BADFB">
        <w:rPr>
          <w:rStyle w:val="normaltextrun"/>
          <w:rFonts w:ascii="Muli" w:hAnsi="Muli"/>
        </w:rPr>
        <w:t>”</w:t>
      </w:r>
    </w:p>
    <w:p w14:paraId="0CF72DB1" w14:textId="77777777" w:rsidR="00CC40F5" w:rsidRDefault="00CC40F5" w:rsidP="00CC40F5">
      <w:pPr>
        <w:rPr>
          <w:rStyle w:val="contentpasted0"/>
          <w:rFonts w:ascii="Muli" w:hAnsi="Muli"/>
          <w:color w:val="000000"/>
          <w:u w:val="single"/>
        </w:rPr>
      </w:pPr>
      <w:r>
        <w:rPr>
          <w:rStyle w:val="contentpasted0"/>
          <w:rFonts w:ascii="Muli" w:hAnsi="Muli"/>
          <w:color w:val="000000"/>
          <w:u w:val="single"/>
        </w:rPr>
        <w:t>Simone Colombelli, director de Hipotecas de iAhorro.</w:t>
      </w:r>
    </w:p>
    <w:p w14:paraId="40833FD5" w14:textId="77777777" w:rsidR="005A60D7" w:rsidRDefault="005A60D7" w:rsidP="00CC40F5">
      <w:pPr>
        <w:rPr>
          <w:rStyle w:val="contentpasted0"/>
          <w:rFonts w:ascii="Muli" w:hAnsi="Muli"/>
          <w:color w:val="000000"/>
          <w:u w:val="single"/>
        </w:rPr>
      </w:pPr>
    </w:p>
    <w:p w14:paraId="2C90C4BE" w14:textId="77777777" w:rsidR="005A60D7" w:rsidRDefault="005A60D7" w:rsidP="00CC40F5">
      <w:pPr>
        <w:rPr>
          <w:rStyle w:val="contentpasted0"/>
          <w:rFonts w:ascii="Muli" w:hAnsi="Muli"/>
          <w:color w:val="000000"/>
          <w:u w:val="single"/>
        </w:rPr>
      </w:pPr>
    </w:p>
    <w:p w14:paraId="067F613D" w14:textId="77777777" w:rsidR="00CC40F5" w:rsidRDefault="00CC40F5" w:rsidP="00CC40F5">
      <w:pPr>
        <w:spacing w:after="160"/>
        <w:rPr>
          <w:rStyle w:val="contentpasted0"/>
          <w:rFonts w:ascii="Muli" w:hAnsi="Muli"/>
          <w:color w:val="000000"/>
          <w:sz w:val="24"/>
          <w:szCs w:val="24"/>
          <w:lang w:val="es-ES_tradnl"/>
        </w:rPr>
      </w:pPr>
      <w:r>
        <w:rPr>
          <w:rStyle w:val="contentpasted0"/>
          <w:rFonts w:ascii="Muli" w:hAnsi="Muli"/>
          <w:b/>
          <w:bCs/>
          <w:color w:val="243962"/>
          <w:sz w:val="24"/>
          <w:szCs w:val="24"/>
          <w:lang w:val="es-ES_tradnl"/>
        </w:rPr>
        <w:t xml:space="preserve">Si necesita más información o declaraciones en formato audiovisual: </w:t>
      </w:r>
      <w:r>
        <w:rPr>
          <w:rStyle w:val="contentpasted0"/>
          <w:rFonts w:ascii="Muli" w:hAnsi="Muli"/>
          <w:color w:val="000000"/>
          <w:sz w:val="24"/>
          <w:szCs w:val="24"/>
          <w:lang w:val="es-ES_tradn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2016"/>
        <w:gridCol w:w="2547"/>
        <w:gridCol w:w="2529"/>
      </w:tblGrid>
      <w:tr w:rsidR="00CC40F5" w:rsidRPr="00AF342D" w14:paraId="706DE58F" w14:textId="77777777" w:rsidTr="200BADFB">
        <w:trPr>
          <w:trHeight w:val="132"/>
        </w:trPr>
        <w:tc>
          <w:tcPr>
            <w:tcW w:w="1980" w:type="dxa"/>
            <w:tcMar>
              <w:top w:w="0" w:type="dxa"/>
              <w:left w:w="108" w:type="dxa"/>
              <w:bottom w:w="0" w:type="dxa"/>
              <w:right w:w="108" w:type="dxa"/>
            </w:tcMar>
            <w:vAlign w:val="center"/>
            <w:hideMark/>
          </w:tcPr>
          <w:p w14:paraId="5FC21469" w14:textId="77777777" w:rsidR="00CC40F5" w:rsidRDefault="00CC40F5" w:rsidP="006754AD">
            <w:pPr>
              <w:pStyle w:val="Piedepgina"/>
              <w:spacing w:line="252" w:lineRule="auto"/>
              <w:rPr>
                <w:rFonts w:ascii="Aptos" w:hAnsi="Aptos" w:cs="Aptos"/>
                <w:b/>
                <w:bCs/>
                <w:sz w:val="18"/>
                <w:szCs w:val="18"/>
              </w:rPr>
            </w:pPr>
            <w:r>
              <w:rPr>
                <w:noProof/>
              </w:rPr>
              <w:drawing>
                <wp:inline distT="0" distB="0" distL="0" distR="0" wp14:anchorId="430C903E" wp14:editId="51D6A493">
                  <wp:extent cx="1143000" cy="565999"/>
                  <wp:effectExtent l="0" t="0" r="0" b="0"/>
                  <wp:docPr id="1332602733"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8">
                            <a:extLst>
                              <a:ext uri="{28A0092B-C50C-407E-A947-70E740481C1C}">
                                <a14:useLocalDpi xmlns:a14="http://schemas.microsoft.com/office/drawing/2010/main" val="0"/>
                              </a:ext>
                            </a:extLst>
                          </a:blip>
                          <a:stretch>
                            <a:fillRect/>
                          </a:stretch>
                        </pic:blipFill>
                        <pic:spPr>
                          <a:xfrm>
                            <a:off x="0" y="0"/>
                            <a:ext cx="1148384" cy="568665"/>
                          </a:xfrm>
                          <a:prstGeom prst="rect">
                            <a:avLst/>
                          </a:prstGeom>
                        </pic:spPr>
                      </pic:pic>
                    </a:graphicData>
                  </a:graphic>
                </wp:inline>
              </w:drawing>
            </w:r>
          </w:p>
        </w:tc>
        <w:tc>
          <w:tcPr>
            <w:tcW w:w="2556" w:type="dxa"/>
            <w:tcMar>
              <w:top w:w="0" w:type="dxa"/>
              <w:left w:w="108" w:type="dxa"/>
              <w:bottom w:w="0" w:type="dxa"/>
              <w:right w:w="108" w:type="dxa"/>
            </w:tcMar>
            <w:vAlign w:val="center"/>
          </w:tcPr>
          <w:p w14:paraId="3395EEC6" w14:textId="77777777" w:rsidR="00CC40F5" w:rsidRDefault="00CC40F5" w:rsidP="006754AD">
            <w:pPr>
              <w:pStyle w:val="Piedepgina"/>
              <w:spacing w:line="252" w:lineRule="auto"/>
              <w:jc w:val="center"/>
              <w:rPr>
                <w:b/>
                <w:bCs/>
                <w:sz w:val="18"/>
                <w:szCs w:val="18"/>
              </w:rPr>
            </w:pPr>
          </w:p>
          <w:p w14:paraId="19F5E85D" w14:textId="77777777" w:rsidR="00CC40F5" w:rsidRDefault="00CC40F5" w:rsidP="006754AD">
            <w:pPr>
              <w:pStyle w:val="Piedepgina"/>
              <w:spacing w:line="252" w:lineRule="auto"/>
              <w:jc w:val="center"/>
              <w:rPr>
                <w:b/>
                <w:bCs/>
                <w:sz w:val="18"/>
                <w:szCs w:val="18"/>
              </w:rPr>
            </w:pPr>
          </w:p>
          <w:p w14:paraId="09E007BD" w14:textId="3347FA27" w:rsidR="00CC40F5" w:rsidRDefault="00CC40F5" w:rsidP="006754AD">
            <w:pPr>
              <w:pStyle w:val="Piedepgina"/>
              <w:spacing w:line="252" w:lineRule="auto"/>
              <w:jc w:val="center"/>
              <w:rPr>
                <w:sz w:val="18"/>
                <w:szCs w:val="18"/>
              </w:rPr>
            </w:pPr>
            <w:r>
              <w:rPr>
                <w:b/>
                <w:bCs/>
                <w:sz w:val="18"/>
                <w:szCs w:val="18"/>
              </w:rPr>
              <w:t>Laura Martínez</w:t>
            </w:r>
            <w:r>
              <w:rPr>
                <w:sz w:val="18"/>
                <w:szCs w:val="18"/>
              </w:rPr>
              <w:t xml:space="preserve"> – 686 688</w:t>
            </w:r>
            <w:r w:rsidR="005A60D7">
              <w:rPr>
                <w:sz w:val="18"/>
                <w:szCs w:val="18"/>
              </w:rPr>
              <w:t xml:space="preserve"> </w:t>
            </w:r>
            <w:r>
              <w:rPr>
                <w:sz w:val="18"/>
                <w:szCs w:val="18"/>
              </w:rPr>
              <w:t>757</w:t>
            </w:r>
            <w:r>
              <w:rPr>
                <w:sz w:val="18"/>
                <w:szCs w:val="18"/>
              </w:rPr>
              <w:br/>
            </w:r>
            <w:hyperlink r:id="rId9" w:history="1">
              <w:r w:rsidRPr="009D144E">
                <w:rPr>
                  <w:rStyle w:val="Hipervnculo"/>
                  <w:sz w:val="18"/>
                  <w:szCs w:val="18"/>
                </w:rPr>
                <w:t>laura.martinez@iahorro.com</w:t>
              </w:r>
            </w:hyperlink>
          </w:p>
          <w:p w14:paraId="729589DD" w14:textId="77777777" w:rsidR="00CC40F5" w:rsidRDefault="00CC40F5" w:rsidP="006754AD">
            <w:pPr>
              <w:pStyle w:val="Piedepgina"/>
              <w:spacing w:line="252" w:lineRule="auto"/>
              <w:jc w:val="center"/>
              <w:rPr>
                <w:b/>
                <w:bCs/>
                <w:sz w:val="18"/>
                <w:szCs w:val="18"/>
                <w:lang w:val="pt-PT"/>
              </w:rPr>
            </w:pPr>
          </w:p>
          <w:p w14:paraId="6DD6E9EE" w14:textId="77777777" w:rsidR="00CC40F5" w:rsidRDefault="00CC40F5" w:rsidP="006754AD">
            <w:pPr>
              <w:pStyle w:val="Piedepgina"/>
              <w:spacing w:line="252" w:lineRule="auto"/>
              <w:jc w:val="center"/>
              <w:rPr>
                <w:b/>
                <w:bCs/>
                <w:sz w:val="18"/>
                <w:szCs w:val="18"/>
                <w:lang w:val="pt-PT"/>
              </w:rPr>
            </w:pPr>
          </w:p>
        </w:tc>
        <w:tc>
          <w:tcPr>
            <w:tcW w:w="2556" w:type="dxa"/>
            <w:tcMar>
              <w:top w:w="0" w:type="dxa"/>
              <w:left w:w="108" w:type="dxa"/>
              <w:bottom w:w="0" w:type="dxa"/>
              <w:right w:w="108" w:type="dxa"/>
            </w:tcMar>
            <w:vAlign w:val="center"/>
            <w:hideMark/>
          </w:tcPr>
          <w:p w14:paraId="68D93908" w14:textId="77777777" w:rsidR="00CC40F5" w:rsidRDefault="00CC40F5" w:rsidP="006754AD">
            <w:pPr>
              <w:pStyle w:val="Piedepgina"/>
              <w:spacing w:line="252" w:lineRule="auto"/>
              <w:rPr>
                <w:b/>
                <w:bCs/>
                <w:sz w:val="18"/>
                <w:szCs w:val="18"/>
                <w:lang w:val="pt-PT"/>
              </w:rPr>
            </w:pPr>
            <w:r>
              <w:rPr>
                <w:b/>
                <w:bCs/>
                <w:sz w:val="18"/>
                <w:szCs w:val="18"/>
                <w:lang w:val="pt-PT"/>
              </w:rPr>
              <w:t>Noelia Pérez</w:t>
            </w:r>
            <w:r>
              <w:rPr>
                <w:sz w:val="18"/>
                <w:szCs w:val="18"/>
                <w:lang w:val="pt-PT"/>
              </w:rPr>
              <w:t xml:space="preserve"> – 653 247 167</w:t>
            </w:r>
            <w:r>
              <w:rPr>
                <w:sz w:val="18"/>
                <w:szCs w:val="18"/>
                <w:lang w:val="pt-PT"/>
              </w:rPr>
              <w:br/>
            </w:r>
            <w:hyperlink r:id="rId10" w:history="1">
              <w:r>
                <w:rPr>
                  <w:rStyle w:val="Hipervnculo"/>
                  <w:sz w:val="18"/>
                  <w:szCs w:val="18"/>
                  <w:lang w:val="pt-PT"/>
                </w:rPr>
                <w:t>noelia.perez@iahorro.com</w:t>
              </w:r>
            </w:hyperlink>
          </w:p>
        </w:tc>
      </w:tr>
    </w:tbl>
    <w:p w14:paraId="361E6081" w14:textId="77777777" w:rsidR="00381D98" w:rsidRPr="009B13AE" w:rsidRDefault="00381D98">
      <w:pPr>
        <w:rPr>
          <w:lang w:val="pt-PT"/>
        </w:rPr>
      </w:pPr>
    </w:p>
    <w:sectPr w:rsidR="00381D98" w:rsidRPr="009B13A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uli">
    <w:altName w:val="Calibri"/>
    <w:panose1 w:val="00000000000000000000"/>
    <w:charset w:val="00"/>
    <w:family w:val="auto"/>
    <w:pitch w:val="variable"/>
    <w:sig w:usb0="A00000FF" w:usb1="5000204B" w:usb2="00000000" w:usb3="00000000" w:csb0="00000193"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C27A8"/>
    <w:multiLevelType w:val="hybridMultilevel"/>
    <w:tmpl w:val="F734331A"/>
    <w:lvl w:ilvl="0" w:tplc="E7DEB2F6">
      <w:numFmt w:val="bullet"/>
      <w:lvlText w:val=""/>
      <w:lvlJc w:val="left"/>
      <w:pPr>
        <w:ind w:left="720" w:hanging="360"/>
      </w:pPr>
      <w:rPr>
        <w:rFonts w:ascii="Symbol" w:eastAsiaTheme="minorHAnsi" w:hAnsi="Symbol" w:cs="Calibri" w:hint="default"/>
        <w:b w:val="0"/>
        <w:color w:val="auto"/>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08123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0F5"/>
    <w:rsid w:val="000074DC"/>
    <w:rsid w:val="0001271D"/>
    <w:rsid w:val="000452C2"/>
    <w:rsid w:val="00076963"/>
    <w:rsid w:val="00084D88"/>
    <w:rsid w:val="000C0A1C"/>
    <w:rsid w:val="000C359D"/>
    <w:rsid w:val="000E0011"/>
    <w:rsid w:val="000E6E77"/>
    <w:rsid w:val="0014369C"/>
    <w:rsid w:val="00154772"/>
    <w:rsid w:val="001B0F85"/>
    <w:rsid w:val="001D56A8"/>
    <w:rsid w:val="00240A15"/>
    <w:rsid w:val="00244C6B"/>
    <w:rsid w:val="00261ED8"/>
    <w:rsid w:val="00264420"/>
    <w:rsid w:val="002A628A"/>
    <w:rsid w:val="002F4D31"/>
    <w:rsid w:val="00307238"/>
    <w:rsid w:val="00324EC8"/>
    <w:rsid w:val="00346476"/>
    <w:rsid w:val="00351701"/>
    <w:rsid w:val="00377D9A"/>
    <w:rsid w:val="00381D98"/>
    <w:rsid w:val="003B6237"/>
    <w:rsid w:val="00437E52"/>
    <w:rsid w:val="00466883"/>
    <w:rsid w:val="00473D66"/>
    <w:rsid w:val="004919EA"/>
    <w:rsid w:val="004A47A3"/>
    <w:rsid w:val="004D01DA"/>
    <w:rsid w:val="0051434B"/>
    <w:rsid w:val="005150BC"/>
    <w:rsid w:val="00550940"/>
    <w:rsid w:val="00570B00"/>
    <w:rsid w:val="005729E9"/>
    <w:rsid w:val="005A60D7"/>
    <w:rsid w:val="005F667C"/>
    <w:rsid w:val="00606396"/>
    <w:rsid w:val="00607676"/>
    <w:rsid w:val="00607D72"/>
    <w:rsid w:val="00651D7F"/>
    <w:rsid w:val="0066580E"/>
    <w:rsid w:val="00665F6D"/>
    <w:rsid w:val="00675F7C"/>
    <w:rsid w:val="006907D9"/>
    <w:rsid w:val="006938D8"/>
    <w:rsid w:val="006C10FD"/>
    <w:rsid w:val="006E6E88"/>
    <w:rsid w:val="00726DA0"/>
    <w:rsid w:val="007375E4"/>
    <w:rsid w:val="00745C61"/>
    <w:rsid w:val="00764921"/>
    <w:rsid w:val="007A15C0"/>
    <w:rsid w:val="007C5C9E"/>
    <w:rsid w:val="007D5886"/>
    <w:rsid w:val="007E1178"/>
    <w:rsid w:val="007E568D"/>
    <w:rsid w:val="00853A67"/>
    <w:rsid w:val="0087239B"/>
    <w:rsid w:val="008862D3"/>
    <w:rsid w:val="00890E07"/>
    <w:rsid w:val="008B3C70"/>
    <w:rsid w:val="008E20CF"/>
    <w:rsid w:val="008E6575"/>
    <w:rsid w:val="009420D0"/>
    <w:rsid w:val="00986673"/>
    <w:rsid w:val="009B13AE"/>
    <w:rsid w:val="009B345B"/>
    <w:rsid w:val="009C3B9E"/>
    <w:rsid w:val="009C7D32"/>
    <w:rsid w:val="009D18AD"/>
    <w:rsid w:val="009E7BAE"/>
    <w:rsid w:val="009F59FB"/>
    <w:rsid w:val="00A21B9D"/>
    <w:rsid w:val="00A25BC0"/>
    <w:rsid w:val="00A5015E"/>
    <w:rsid w:val="00A86A12"/>
    <w:rsid w:val="00A878DC"/>
    <w:rsid w:val="00A916F8"/>
    <w:rsid w:val="00AF342D"/>
    <w:rsid w:val="00B5426B"/>
    <w:rsid w:val="00B90561"/>
    <w:rsid w:val="00B94332"/>
    <w:rsid w:val="00BF0AE3"/>
    <w:rsid w:val="00BF7332"/>
    <w:rsid w:val="00CB32A2"/>
    <w:rsid w:val="00CC40F5"/>
    <w:rsid w:val="00CC6F9F"/>
    <w:rsid w:val="00CD019B"/>
    <w:rsid w:val="00CF1411"/>
    <w:rsid w:val="00D21511"/>
    <w:rsid w:val="00D312F2"/>
    <w:rsid w:val="00D340D9"/>
    <w:rsid w:val="00D459E5"/>
    <w:rsid w:val="00D96901"/>
    <w:rsid w:val="00E24059"/>
    <w:rsid w:val="00E8709B"/>
    <w:rsid w:val="00EA321A"/>
    <w:rsid w:val="00F12026"/>
    <w:rsid w:val="00F510B8"/>
    <w:rsid w:val="00F536AF"/>
    <w:rsid w:val="00F9329F"/>
    <w:rsid w:val="00FC2EFC"/>
    <w:rsid w:val="1D094C47"/>
    <w:rsid w:val="200BADFB"/>
    <w:rsid w:val="407483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947E5"/>
  <w15:chartTrackingRefBased/>
  <w15:docId w15:val="{B64FBF4B-4267-4A17-B4DC-C429C61FD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0F5"/>
    <w:pPr>
      <w:spacing w:after="0" w:line="240" w:lineRule="auto"/>
    </w:pPr>
    <w:rPr>
      <w:rFonts w:ascii="Calibri" w:hAnsi="Calibri" w:cs="Calibri"/>
      <w14:ligatures w14:val="standardContextual"/>
    </w:rPr>
  </w:style>
  <w:style w:type="paragraph" w:styleId="Ttulo1">
    <w:name w:val="heading 1"/>
    <w:basedOn w:val="Normal"/>
    <w:next w:val="Normal"/>
    <w:link w:val="Ttulo1Car"/>
    <w:uiPriority w:val="9"/>
    <w:qFormat/>
    <w:rsid w:val="00CC40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C40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C40F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C40F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C40F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C40F5"/>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C40F5"/>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C40F5"/>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C40F5"/>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40F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C40F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C40F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C40F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C40F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C40F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C40F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C40F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C40F5"/>
    <w:rPr>
      <w:rFonts w:eastAsiaTheme="majorEastAsia" w:cstheme="majorBidi"/>
      <w:color w:val="272727" w:themeColor="text1" w:themeTint="D8"/>
    </w:rPr>
  </w:style>
  <w:style w:type="paragraph" w:styleId="Ttulo">
    <w:name w:val="Title"/>
    <w:basedOn w:val="Normal"/>
    <w:next w:val="Normal"/>
    <w:link w:val="TtuloCar"/>
    <w:uiPriority w:val="10"/>
    <w:qFormat/>
    <w:rsid w:val="00CC40F5"/>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C40F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C40F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C40F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C40F5"/>
    <w:pPr>
      <w:spacing w:before="160"/>
      <w:jc w:val="center"/>
    </w:pPr>
    <w:rPr>
      <w:i/>
      <w:iCs/>
      <w:color w:val="404040" w:themeColor="text1" w:themeTint="BF"/>
    </w:rPr>
  </w:style>
  <w:style w:type="character" w:customStyle="1" w:styleId="CitaCar">
    <w:name w:val="Cita Car"/>
    <w:basedOn w:val="Fuentedeprrafopredeter"/>
    <w:link w:val="Cita"/>
    <w:uiPriority w:val="29"/>
    <w:rsid w:val="00CC40F5"/>
    <w:rPr>
      <w:i/>
      <w:iCs/>
      <w:color w:val="404040" w:themeColor="text1" w:themeTint="BF"/>
    </w:rPr>
  </w:style>
  <w:style w:type="paragraph" w:styleId="Prrafodelista">
    <w:name w:val="List Paragraph"/>
    <w:basedOn w:val="Normal"/>
    <w:uiPriority w:val="34"/>
    <w:qFormat/>
    <w:rsid w:val="00CC40F5"/>
    <w:pPr>
      <w:ind w:left="720"/>
      <w:contextualSpacing/>
    </w:pPr>
  </w:style>
  <w:style w:type="character" w:styleId="nfasisintenso">
    <w:name w:val="Intense Emphasis"/>
    <w:basedOn w:val="Fuentedeprrafopredeter"/>
    <w:uiPriority w:val="21"/>
    <w:qFormat/>
    <w:rsid w:val="00CC40F5"/>
    <w:rPr>
      <w:i/>
      <w:iCs/>
      <w:color w:val="0F4761" w:themeColor="accent1" w:themeShade="BF"/>
    </w:rPr>
  </w:style>
  <w:style w:type="paragraph" w:styleId="Citadestacada">
    <w:name w:val="Intense Quote"/>
    <w:basedOn w:val="Normal"/>
    <w:next w:val="Normal"/>
    <w:link w:val="CitadestacadaCar"/>
    <w:uiPriority w:val="30"/>
    <w:qFormat/>
    <w:rsid w:val="00CC40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C40F5"/>
    <w:rPr>
      <w:i/>
      <w:iCs/>
      <w:color w:val="0F4761" w:themeColor="accent1" w:themeShade="BF"/>
    </w:rPr>
  </w:style>
  <w:style w:type="character" w:styleId="Referenciaintensa">
    <w:name w:val="Intense Reference"/>
    <w:basedOn w:val="Fuentedeprrafopredeter"/>
    <w:uiPriority w:val="32"/>
    <w:qFormat/>
    <w:rsid w:val="00CC40F5"/>
    <w:rPr>
      <w:b/>
      <w:bCs/>
      <w:smallCaps/>
      <w:color w:val="0F4761" w:themeColor="accent1" w:themeShade="BF"/>
      <w:spacing w:val="5"/>
    </w:rPr>
  </w:style>
  <w:style w:type="character" w:customStyle="1" w:styleId="contentpasted0">
    <w:name w:val="contentpasted0"/>
    <w:basedOn w:val="Fuentedeprrafopredeter"/>
    <w:rsid w:val="00CC40F5"/>
  </w:style>
  <w:style w:type="paragraph" w:customStyle="1" w:styleId="xmsonormal">
    <w:name w:val="x_msonormal"/>
    <w:basedOn w:val="Normal"/>
    <w:uiPriority w:val="99"/>
    <w:rsid w:val="00CC40F5"/>
    <w:rPr>
      <w:lang w:eastAsia="es-ES"/>
      <w14:ligatures w14:val="none"/>
    </w:rPr>
  </w:style>
  <w:style w:type="character" w:customStyle="1" w:styleId="xcontentpasted0">
    <w:name w:val="x_contentpasted0"/>
    <w:basedOn w:val="Fuentedeprrafopredeter"/>
    <w:rsid w:val="00CC40F5"/>
  </w:style>
  <w:style w:type="paragraph" w:customStyle="1" w:styleId="paragraph">
    <w:name w:val="paragraph"/>
    <w:basedOn w:val="Normal"/>
    <w:rsid w:val="00CC40F5"/>
    <w:pPr>
      <w:spacing w:before="100" w:beforeAutospacing="1" w:after="100" w:afterAutospacing="1"/>
    </w:pPr>
    <w:rPr>
      <w:rFonts w:ascii="Times New Roman" w:hAnsi="Times New Roman" w:cs="Times New Roman"/>
      <w:sz w:val="24"/>
      <w:szCs w:val="24"/>
      <w:lang w:eastAsia="es-ES"/>
      <w14:ligatures w14:val="none"/>
    </w:rPr>
  </w:style>
  <w:style w:type="character" w:customStyle="1" w:styleId="normaltextrun">
    <w:name w:val="normaltextrun"/>
    <w:basedOn w:val="Fuentedeprrafopredeter"/>
    <w:rsid w:val="00CC40F5"/>
  </w:style>
  <w:style w:type="paragraph" w:styleId="Piedepgina">
    <w:name w:val="footer"/>
    <w:basedOn w:val="Normal"/>
    <w:link w:val="PiedepginaCar"/>
    <w:uiPriority w:val="99"/>
    <w:unhideWhenUsed/>
    <w:rsid w:val="00CC40F5"/>
    <w:pPr>
      <w:tabs>
        <w:tab w:val="center" w:pos="4252"/>
        <w:tab w:val="right" w:pos="8504"/>
      </w:tabs>
    </w:pPr>
    <w:rPr>
      <w:rFonts w:asciiTheme="minorHAnsi" w:hAnsiTheme="minorHAnsi" w:cstheme="minorBidi"/>
      <w14:ligatures w14:val="none"/>
    </w:rPr>
  </w:style>
  <w:style w:type="character" w:customStyle="1" w:styleId="PiedepginaCar">
    <w:name w:val="Pie de página Car"/>
    <w:basedOn w:val="Fuentedeprrafopredeter"/>
    <w:link w:val="Piedepgina"/>
    <w:uiPriority w:val="99"/>
    <w:rsid w:val="00CC40F5"/>
  </w:style>
  <w:style w:type="character" w:styleId="Hipervnculo">
    <w:name w:val="Hyperlink"/>
    <w:basedOn w:val="Fuentedeprrafopredeter"/>
    <w:uiPriority w:val="99"/>
    <w:unhideWhenUsed/>
    <w:rsid w:val="00CC40F5"/>
    <w:rPr>
      <w:color w:val="0563C1"/>
      <w:u w:val="single"/>
    </w:rPr>
  </w:style>
  <w:style w:type="character" w:styleId="Refdecomentario">
    <w:name w:val="annotation reference"/>
    <w:basedOn w:val="Fuentedeprrafopredeter"/>
    <w:uiPriority w:val="99"/>
    <w:semiHidden/>
    <w:unhideWhenUsed/>
    <w:rsid w:val="000E6E77"/>
    <w:rPr>
      <w:sz w:val="16"/>
      <w:szCs w:val="16"/>
    </w:rPr>
  </w:style>
  <w:style w:type="paragraph" w:styleId="Textocomentario">
    <w:name w:val="annotation text"/>
    <w:basedOn w:val="Normal"/>
    <w:link w:val="TextocomentarioCar"/>
    <w:uiPriority w:val="99"/>
    <w:unhideWhenUsed/>
    <w:rsid w:val="000E6E77"/>
    <w:rPr>
      <w:sz w:val="20"/>
      <w:szCs w:val="20"/>
    </w:rPr>
  </w:style>
  <w:style w:type="character" w:customStyle="1" w:styleId="TextocomentarioCar">
    <w:name w:val="Texto comentario Car"/>
    <w:basedOn w:val="Fuentedeprrafopredeter"/>
    <w:link w:val="Textocomentario"/>
    <w:uiPriority w:val="99"/>
    <w:rsid w:val="000E6E77"/>
    <w:rPr>
      <w:rFonts w:ascii="Calibri" w:hAnsi="Calibri" w:cs="Calibri"/>
      <w:sz w:val="20"/>
      <w:szCs w:val="20"/>
      <w14:ligatures w14:val="standardContextual"/>
    </w:rPr>
  </w:style>
  <w:style w:type="paragraph" w:styleId="Asuntodelcomentario">
    <w:name w:val="annotation subject"/>
    <w:basedOn w:val="Textocomentario"/>
    <w:next w:val="Textocomentario"/>
    <w:link w:val="AsuntodelcomentarioCar"/>
    <w:uiPriority w:val="99"/>
    <w:semiHidden/>
    <w:unhideWhenUsed/>
    <w:rsid w:val="000E6E77"/>
    <w:rPr>
      <w:b/>
      <w:bCs/>
    </w:rPr>
  </w:style>
  <w:style w:type="character" w:customStyle="1" w:styleId="AsuntodelcomentarioCar">
    <w:name w:val="Asunto del comentario Car"/>
    <w:basedOn w:val="TextocomentarioCar"/>
    <w:link w:val="Asuntodelcomentario"/>
    <w:uiPriority w:val="99"/>
    <w:semiHidden/>
    <w:rsid w:val="000E6E77"/>
    <w:rPr>
      <w:rFonts w:ascii="Calibri" w:hAnsi="Calibri" w:cs="Calibri"/>
      <w:b/>
      <w:bCs/>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559213">
      <w:bodyDiv w:val="1"/>
      <w:marLeft w:val="0"/>
      <w:marRight w:val="0"/>
      <w:marTop w:val="0"/>
      <w:marBottom w:val="0"/>
      <w:divBdr>
        <w:top w:val="none" w:sz="0" w:space="0" w:color="auto"/>
        <w:left w:val="none" w:sz="0" w:space="0" w:color="auto"/>
        <w:bottom w:val="none" w:sz="0" w:space="0" w:color="auto"/>
        <w:right w:val="none" w:sz="0" w:space="0" w:color="auto"/>
      </w:divBdr>
    </w:div>
    <w:div w:id="169430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noelia.perez@iahorro.com" TargetMode="External"/><Relationship Id="rId4" Type="http://schemas.openxmlformats.org/officeDocument/2006/relationships/numbering" Target="numbering.xml"/><Relationship Id="rId9" Type="http://schemas.openxmlformats.org/officeDocument/2006/relationships/hyperlink" Target="mailto:laura.martinez@iahorro.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089af1-5b15-490c-82f7-e78eb5bbe581" xsi:nil="true"/>
    <lcf76f155ced4ddcb4097134ff3c332f xmlns="d5260bb1-f0d0-4859-aae3-9c53545435c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1D7C0CBF4D21448993B223853350C29" ma:contentTypeVersion="13" ma:contentTypeDescription="Crear nuevo documento." ma:contentTypeScope="" ma:versionID="ee9baeac4f058ba793454c9a9ed72d1e">
  <xsd:schema xmlns:xsd="http://www.w3.org/2001/XMLSchema" xmlns:xs="http://www.w3.org/2001/XMLSchema" xmlns:p="http://schemas.microsoft.com/office/2006/metadata/properties" xmlns:ns2="d5260bb1-f0d0-4859-aae3-9c53545435c6" xmlns:ns3="bc089af1-5b15-490c-82f7-e78eb5bbe581" targetNamespace="http://schemas.microsoft.com/office/2006/metadata/properties" ma:root="true" ma:fieldsID="15e0b3f74cc4e70f5b80a93f3387b59e" ns2:_="" ns3:_="">
    <xsd:import namespace="d5260bb1-f0d0-4859-aae3-9c53545435c6"/>
    <xsd:import namespace="bc089af1-5b15-490c-82f7-e78eb5bbe5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60bb1-f0d0-4859-aae3-9c5354543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873611d4-5b1f-4ad6-801b-774cb59319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089af1-5b15-490c-82f7-e78eb5bbe58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a3a9ad4-050d-4049-b280-9813ddc1be7c}" ma:internalName="TaxCatchAll" ma:showField="CatchAllData" ma:web="bc089af1-5b15-490c-82f7-e78eb5bbe5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443664-7E09-464F-8F97-92505A3C4565}">
  <ds:schemaRefs>
    <ds:schemaRef ds:uri="http://schemas.microsoft.com/office/2006/metadata/properties"/>
    <ds:schemaRef ds:uri="http://schemas.microsoft.com/office/infopath/2007/PartnerControls"/>
    <ds:schemaRef ds:uri="bc089af1-5b15-490c-82f7-e78eb5bbe581"/>
    <ds:schemaRef ds:uri="d5260bb1-f0d0-4859-aae3-9c53545435c6"/>
  </ds:schemaRefs>
</ds:datastoreItem>
</file>

<file path=customXml/itemProps2.xml><?xml version="1.0" encoding="utf-8"?>
<ds:datastoreItem xmlns:ds="http://schemas.openxmlformats.org/officeDocument/2006/customXml" ds:itemID="{DD43F6EA-50C6-4EF8-B43C-8C1368F51BCF}">
  <ds:schemaRefs>
    <ds:schemaRef ds:uri="http://schemas.microsoft.com/sharepoint/v3/contenttype/forms"/>
  </ds:schemaRefs>
</ds:datastoreItem>
</file>

<file path=customXml/itemProps3.xml><?xml version="1.0" encoding="utf-8"?>
<ds:datastoreItem xmlns:ds="http://schemas.openxmlformats.org/officeDocument/2006/customXml" ds:itemID="{26C3F48C-A54D-4062-A28D-DBF4727436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60bb1-f0d0-4859-aae3-9c53545435c6"/>
    <ds:schemaRef ds:uri="bc089af1-5b15-490c-82f7-e78eb5bbe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539</Words>
  <Characters>2968</Characters>
  <Application>Microsoft Office Word</Application>
  <DocSecurity>0</DocSecurity>
  <Lines>24</Lines>
  <Paragraphs>6</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Noelia Perez</cp:lastModifiedBy>
  <cp:revision>3</cp:revision>
  <dcterms:created xsi:type="dcterms:W3CDTF">2025-04-24T07:46:00Z</dcterms:created>
  <dcterms:modified xsi:type="dcterms:W3CDTF">2025-04-24T07:48:00Z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0x010100F1D7C0CBF4D21448993B223853350C29</vt:lpwstr>
  </property>
</Properties>
</file>