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BED2" w14:textId="77777777" w:rsidR="00AB6375" w:rsidRDefault="00AB6375" w:rsidP="00AB6375">
      <w:pPr>
        <w:jc w:val="center"/>
        <w:rPr>
          <w:rFonts w:ascii="Times New Roman" w:hAnsi="Times New Roman" w:cs="Times New Roman"/>
          <w:color w:val="000000"/>
        </w:rPr>
      </w:pPr>
      <w:r>
        <w:rPr>
          <w:rStyle w:val="contentpasted0"/>
          <w:rFonts w:ascii="Muli" w:hAnsi="Muli"/>
          <w:b/>
          <w:bCs/>
          <w:color w:val="000000"/>
        </w:rPr>
        <w:t>Análisis de los datos del INE, por Laura Martínez</w:t>
      </w:r>
    </w:p>
    <w:p w14:paraId="7E69689C" w14:textId="36195F21" w:rsidR="00AB6375" w:rsidRDefault="001431D8" w:rsidP="00AB6375">
      <w:pPr>
        <w:jc w:val="center"/>
        <w:rPr>
          <w:rFonts w:ascii="Montserrat" w:hAnsi="Montserrat"/>
          <w:b/>
          <w:bCs/>
          <w:color w:val="243962"/>
          <w:sz w:val="32"/>
          <w:szCs w:val="32"/>
          <w:lang w:eastAsia="es-ES"/>
          <w14:ligatures w14:val="none"/>
        </w:rPr>
      </w:pPr>
      <w:r w:rsidRPr="001431D8">
        <w:rPr>
          <w:rFonts w:ascii="Montserrat" w:hAnsi="Montserrat"/>
          <w:b/>
          <w:bCs/>
          <w:color w:val="243962"/>
          <w:sz w:val="32"/>
          <w:szCs w:val="32"/>
          <w:lang w:eastAsia="es-ES"/>
          <w14:ligatures w14:val="none"/>
        </w:rPr>
        <w:t>La firma de hipotecas en España mantiene su pulso positivo en febrero, con un crecimiento del 16,3% interanual</w:t>
      </w:r>
    </w:p>
    <w:p w14:paraId="51BEA6E0" w14:textId="77777777" w:rsidR="00AB6375" w:rsidRDefault="00AB6375"/>
    <w:p w14:paraId="732E0C06" w14:textId="75EAA921" w:rsidR="00B754E8" w:rsidRDefault="00B754E8" w:rsidP="00B754E8">
      <w:pPr>
        <w:rPr>
          <w:rFonts w:ascii="Muli" w:hAnsi="Muli"/>
        </w:rPr>
      </w:pPr>
      <w:r w:rsidRPr="200BADFB">
        <w:rPr>
          <w:rFonts w:ascii="Muli" w:hAnsi="Muli"/>
        </w:rPr>
        <w:t>Madrid</w:t>
      </w:r>
      <w:r>
        <w:rPr>
          <w:rFonts w:ascii="Muli" w:hAnsi="Muli"/>
        </w:rPr>
        <w:t>, 24 de abril de 2026</w:t>
      </w:r>
    </w:p>
    <w:p w14:paraId="704B67D8" w14:textId="346490A0" w:rsidR="00526F67" w:rsidRPr="00676A7F" w:rsidRDefault="00526F67" w:rsidP="00526F67">
      <w:pPr>
        <w:spacing w:after="0" w:line="240" w:lineRule="auto"/>
        <w:rPr>
          <w:rFonts w:ascii="Muli" w:hAnsi="Muli" w:cs="Calibri"/>
          <w:kern w:val="0"/>
        </w:rPr>
      </w:pPr>
      <w:r w:rsidRPr="00676A7F">
        <w:rPr>
          <w:rFonts w:ascii="Muli" w:hAnsi="Muli" w:cs="Calibri"/>
          <w:kern w:val="0"/>
        </w:rPr>
        <w:t>El mercado hipotecario español consolida su buena salud. Según los últimos datos publicados hoy por el Instituto Nacional de Estadística (INE) correspondientes al mes de febrero de 2026, la firma de préstamos sobre viviendas alcanzó las 45.563 operaciones, lo que supone un incremento del 16,3% respecto al mismo mes del año anterior.</w:t>
      </w:r>
    </w:p>
    <w:p w14:paraId="17DBCB3F" w14:textId="77777777" w:rsidR="00526F67" w:rsidRPr="00676A7F" w:rsidRDefault="00526F67" w:rsidP="00526F67">
      <w:pPr>
        <w:spacing w:after="0" w:line="240" w:lineRule="auto"/>
        <w:rPr>
          <w:rFonts w:ascii="Muli" w:hAnsi="Muli" w:cs="Calibri"/>
          <w:kern w:val="0"/>
        </w:rPr>
      </w:pPr>
    </w:p>
    <w:p w14:paraId="56EE0951" w14:textId="6610FA70" w:rsidR="00526F67" w:rsidRPr="00676A7F" w:rsidRDefault="00526F67" w:rsidP="00526F67">
      <w:pPr>
        <w:spacing w:after="0" w:line="240" w:lineRule="auto"/>
        <w:rPr>
          <w:rFonts w:ascii="Muli" w:hAnsi="Muli" w:cs="Calibri"/>
          <w:kern w:val="0"/>
        </w:rPr>
      </w:pPr>
      <w:r w:rsidRPr="00676A7F">
        <w:rPr>
          <w:rFonts w:ascii="Muli" w:hAnsi="Muli" w:cs="Calibri"/>
          <w:kern w:val="0"/>
        </w:rPr>
        <w:t>Este dato confirma que, aunque el mercado muestra un ritmo más moderado tras el efecto "rebote" de 2025, el interés de las familias por adquirir una vivienda sigue siendo sólido, respaldado por una estabilización en los tipos de interés. El coste medio de financiación para estas nuevas hipotecas se situó en el 2,88%, manteniendo una competitividad atractiva para los compradores.</w:t>
      </w:r>
    </w:p>
    <w:p w14:paraId="5E6B0F0E" w14:textId="77777777" w:rsidR="00526F67" w:rsidRPr="00676A7F" w:rsidRDefault="00526F67" w:rsidP="00A266EC">
      <w:pPr>
        <w:spacing w:after="0" w:line="240" w:lineRule="auto"/>
        <w:rPr>
          <w:rFonts w:ascii="Muli" w:hAnsi="Muli" w:cs="Calibri"/>
          <w:kern w:val="0"/>
        </w:rPr>
      </w:pPr>
    </w:p>
    <w:p w14:paraId="1427930A" w14:textId="77777777" w:rsidR="00676A7F" w:rsidRPr="00676A7F" w:rsidRDefault="00676A7F" w:rsidP="00676A7F">
      <w:pPr>
        <w:spacing w:after="0" w:line="240" w:lineRule="auto"/>
        <w:rPr>
          <w:rFonts w:ascii="Muli" w:hAnsi="Muli"/>
          <w:lang w:val="es-ES_tradnl"/>
        </w:rPr>
      </w:pPr>
      <w:r w:rsidRPr="00676A7F">
        <w:rPr>
          <w:rFonts w:ascii="Muli" w:hAnsi="Muli"/>
          <w:lang w:val="es-ES_tradnl"/>
        </w:rPr>
        <w:t>El perfil del comprador de vivienda en España sigue siendo marcadamente conservador en cuanto al riesgo. Durante el mes de febrero, el 64,8% de las hipotecas firmadas optaron por un tipo de interés fijo, frente al 35,2% que eligió modalidades variables.</w:t>
      </w:r>
    </w:p>
    <w:p w14:paraId="4D40978F" w14:textId="77777777" w:rsidR="00676A7F" w:rsidRPr="00676A7F" w:rsidRDefault="00676A7F" w:rsidP="00676A7F">
      <w:pPr>
        <w:spacing w:after="0" w:line="240" w:lineRule="auto"/>
        <w:rPr>
          <w:rFonts w:ascii="Muli" w:hAnsi="Muli"/>
          <w:lang w:val="es-ES_tradnl"/>
        </w:rPr>
      </w:pPr>
    </w:p>
    <w:p w14:paraId="42033A3E" w14:textId="701DF589" w:rsidR="00676A7F" w:rsidRPr="00676A7F" w:rsidRDefault="00676A7F" w:rsidP="00676A7F">
      <w:pPr>
        <w:spacing w:after="0" w:line="240" w:lineRule="auto"/>
        <w:rPr>
          <w:rFonts w:ascii="Muli" w:hAnsi="Muli"/>
          <w:lang w:val="es-ES_tradnl"/>
        </w:rPr>
      </w:pPr>
      <w:r w:rsidRPr="00676A7F">
        <w:rPr>
          <w:rFonts w:ascii="Muli" w:hAnsi="Muli"/>
          <w:lang w:val="es-ES_tradnl"/>
        </w:rPr>
        <w:t>La elección por el tipo fijo sigue siendo la opción mayoritaria. Las familias españolas priorizan asegurar una cuota estable a largo plazo, lo que demuestra una madurez financiera y una búsqueda de previsibilidad en un entorno global que, aunque más estable, sigue invitando a la prudencia</w:t>
      </w:r>
      <w:r w:rsidR="00904F73">
        <w:rPr>
          <w:rFonts w:ascii="Muli" w:hAnsi="Muli"/>
          <w:lang w:val="es-ES_tradnl"/>
        </w:rPr>
        <w:t>.</w:t>
      </w:r>
    </w:p>
    <w:p w14:paraId="10DE2894" w14:textId="77777777" w:rsidR="00676A7F" w:rsidRPr="00676A7F" w:rsidRDefault="00676A7F" w:rsidP="00676A7F">
      <w:pPr>
        <w:spacing w:after="0" w:line="240" w:lineRule="auto"/>
        <w:rPr>
          <w:rFonts w:ascii="Muli" w:hAnsi="Muli"/>
          <w:lang w:val="es-ES_tradnl"/>
        </w:rPr>
      </w:pPr>
    </w:p>
    <w:p w14:paraId="5BA85DA0" w14:textId="35C77741" w:rsidR="00A266EC" w:rsidRDefault="00676A7F" w:rsidP="00676A7F">
      <w:pPr>
        <w:spacing w:after="0" w:line="240" w:lineRule="auto"/>
        <w:rPr>
          <w:rFonts w:ascii="Muli" w:hAnsi="Muli"/>
          <w:lang w:val="es-ES_tradnl"/>
        </w:rPr>
      </w:pPr>
      <w:r w:rsidRPr="00676A7F">
        <w:rPr>
          <w:rFonts w:ascii="Muli" w:hAnsi="Muli"/>
          <w:lang w:val="es-ES_tradnl"/>
        </w:rPr>
        <w:t>En cuanto al importe, las hipotecas contratadas en febrero fueron, de media, de 173.280 euros, un 11% más que hace un año. Este dato refleja tanto la subida de los precios de la vivienda como una mayor capacidad de financiación de los perfiles que están logrando acceder al mercado actualmente.</w:t>
      </w:r>
    </w:p>
    <w:p w14:paraId="6FDBC38C" w14:textId="77777777" w:rsidR="007B261B" w:rsidRDefault="007B261B" w:rsidP="00676A7F">
      <w:pPr>
        <w:spacing w:after="0" w:line="240" w:lineRule="auto"/>
        <w:rPr>
          <w:rFonts w:ascii="Muli" w:hAnsi="Muli"/>
          <w:lang w:val="es-ES_tradnl"/>
        </w:rPr>
      </w:pPr>
    </w:p>
    <w:p w14:paraId="0E18E4FF" w14:textId="77777777" w:rsidR="007B261B" w:rsidRDefault="007B261B" w:rsidP="00676A7F">
      <w:pPr>
        <w:spacing w:after="0" w:line="240" w:lineRule="auto"/>
        <w:rPr>
          <w:rFonts w:ascii="Muli" w:hAnsi="Muli"/>
          <w:lang w:val="es-ES_tradnl"/>
        </w:rPr>
      </w:pPr>
    </w:p>
    <w:p w14:paraId="1CA3683F" w14:textId="1E510FD4" w:rsidR="007B261B" w:rsidRPr="007B261B" w:rsidRDefault="007B261B" w:rsidP="007B261B">
      <w:pPr>
        <w:spacing w:after="0" w:line="240" w:lineRule="auto"/>
        <w:jc w:val="center"/>
        <w:rPr>
          <w:rFonts w:ascii="Muli" w:hAnsi="Muli"/>
          <w:lang w:val="es-ES_tradnl"/>
        </w:rPr>
      </w:pPr>
      <w:r w:rsidRPr="007B261B">
        <w:rPr>
          <w:rFonts w:ascii="Montserrat" w:hAnsi="Montserrat"/>
          <w:b/>
          <w:bCs/>
          <w:color w:val="243962"/>
          <w:lang w:eastAsia="es-ES"/>
          <w14:ligatures w14:val="none"/>
        </w:rPr>
        <w:lastRenderedPageBreak/>
        <w:t>Caen los cambios de hipoteca</w:t>
      </w:r>
      <w:r>
        <w:rPr>
          <w:rFonts w:ascii="Montserrat" w:hAnsi="Montserrat"/>
          <w:b/>
          <w:bCs/>
          <w:color w:val="243962"/>
          <w:lang w:eastAsia="es-ES"/>
          <w14:ligatures w14:val="none"/>
        </w:rPr>
        <w:t xml:space="preserve"> un 9,3%</w:t>
      </w:r>
    </w:p>
    <w:p w14:paraId="782748B0" w14:textId="77777777" w:rsidR="007B261B" w:rsidRPr="00676A7F" w:rsidRDefault="007B261B" w:rsidP="00676A7F">
      <w:pPr>
        <w:spacing w:after="0" w:line="240" w:lineRule="auto"/>
        <w:rPr>
          <w:rFonts w:ascii="Muli" w:hAnsi="Muli"/>
          <w:lang w:val="es-ES_tradnl"/>
        </w:rPr>
      </w:pPr>
    </w:p>
    <w:p w14:paraId="59A37325" w14:textId="77777777" w:rsidR="00676A7F" w:rsidRPr="00676A7F" w:rsidRDefault="00676A7F" w:rsidP="00676A7F">
      <w:pPr>
        <w:spacing w:after="0" w:line="240" w:lineRule="auto"/>
        <w:rPr>
          <w:rFonts w:ascii="Muli" w:hAnsi="Muli"/>
          <w:lang w:val="es-ES_tradnl"/>
        </w:rPr>
      </w:pPr>
      <w:r w:rsidRPr="00676A7F">
        <w:rPr>
          <w:rFonts w:ascii="Muli" w:hAnsi="Muli"/>
          <w:lang w:val="es-ES_tradnl"/>
        </w:rPr>
        <w:t>El mercado registra una menor actividad en cambios de condiciones</w:t>
      </w:r>
    </w:p>
    <w:p w14:paraId="6E85436E" w14:textId="77777777" w:rsidR="00676A7F" w:rsidRDefault="00676A7F" w:rsidP="00676A7F">
      <w:pPr>
        <w:spacing w:after="0" w:line="240" w:lineRule="auto"/>
        <w:rPr>
          <w:rFonts w:ascii="Muli" w:hAnsi="Muli"/>
          <w:lang w:val="es-ES_tradnl"/>
        </w:rPr>
      </w:pPr>
      <w:r w:rsidRPr="00676A7F">
        <w:rPr>
          <w:rFonts w:ascii="Muli" w:hAnsi="Muli"/>
          <w:lang w:val="es-ES_tradnl"/>
        </w:rPr>
        <w:t>Por otro lado, la estadística publicada por el INE refleja una disminución del 9,3% anual en el número de hipotecas que modifican sus condiciones registrales (como novaciones o subrogaciones). Esto indica que los hipotecados actuales se sienten, en términos generales, cómodos con sus préstamos vigentes o no encuentran suficientes incentivos para cambiar de entidad o modificar el contrato en el contexto actual.</w:t>
      </w:r>
    </w:p>
    <w:p w14:paraId="79FCDAFA" w14:textId="77777777" w:rsidR="007B261B" w:rsidRDefault="007B261B" w:rsidP="00676A7F">
      <w:pPr>
        <w:spacing w:after="0" w:line="240" w:lineRule="auto"/>
        <w:rPr>
          <w:rFonts w:ascii="Muli" w:hAnsi="Muli"/>
          <w:lang w:val="es-ES_tradnl"/>
        </w:rPr>
      </w:pPr>
    </w:p>
    <w:p w14:paraId="1175604F" w14:textId="4121188F" w:rsidR="007B261B" w:rsidRPr="00676A7F" w:rsidRDefault="007B261B" w:rsidP="00676A7F">
      <w:pPr>
        <w:spacing w:after="0" w:line="240" w:lineRule="auto"/>
        <w:rPr>
          <w:rFonts w:ascii="Muli" w:hAnsi="Muli"/>
          <w:lang w:val="es-ES_tradnl"/>
        </w:rPr>
      </w:pPr>
      <w:r>
        <w:rPr>
          <w:rFonts w:ascii="Muli" w:hAnsi="Muli"/>
          <w:lang w:val="es-ES_tradnl"/>
        </w:rPr>
        <w:t xml:space="preserve">A esto se une la actual subida de tipos por partes de las principales entidades financieras lo que provoca que el cambio de condiciones no sea tan rentable como hace unos años. Hay que recuerda también que ya no es ‘gratis’ cambiar tu hipoteca de banco después de que finalizará el decreto del Gobierno por el que se impulsaba esta acción. </w:t>
      </w:r>
    </w:p>
    <w:p w14:paraId="0978CFDF" w14:textId="77777777" w:rsidR="00676A7F" w:rsidRPr="00676A7F" w:rsidRDefault="00676A7F" w:rsidP="00676A7F">
      <w:pPr>
        <w:spacing w:after="0" w:line="240" w:lineRule="auto"/>
        <w:rPr>
          <w:rFonts w:ascii="Muli" w:hAnsi="Muli"/>
          <w:lang w:val="es-ES_tradnl"/>
        </w:rPr>
      </w:pPr>
    </w:p>
    <w:p w14:paraId="63D70788" w14:textId="303656C3" w:rsidR="00676A7F" w:rsidRPr="00676A7F" w:rsidRDefault="007B261B" w:rsidP="00676A7F">
      <w:pPr>
        <w:spacing w:after="0" w:line="240" w:lineRule="auto"/>
        <w:rPr>
          <w:rFonts w:ascii="Muli" w:hAnsi="Muli"/>
          <w:lang w:val="es-ES_tradnl"/>
        </w:rPr>
      </w:pPr>
      <w:r>
        <w:rPr>
          <w:rFonts w:ascii="Muli" w:hAnsi="Muli"/>
          <w:lang w:val="es-ES_tradnl"/>
        </w:rPr>
        <w:t>Por comunicades autónomas, e</w:t>
      </w:r>
      <w:r w:rsidR="00676A7F" w:rsidRPr="00676A7F">
        <w:rPr>
          <w:rFonts w:ascii="Muli" w:hAnsi="Muli"/>
          <w:lang w:val="es-ES_tradnl"/>
        </w:rPr>
        <w:t>l crecimiento del mercado hipotecario no ha sido uniforme en todo el territorio. Las comunidades que lideraron los aumentos en la tasa anual fueron la Comunidad de Madrid (36,9%), seguida de Castilla-La Mancha (29,5%) y Andalucía (24,7%). En el lado opuesto, regiones como Extremadura, País Vasco y La Rioja registraron descensos en el número de operaciones durante este mismo periodo.</w:t>
      </w:r>
    </w:p>
    <w:p w14:paraId="4B48CC8A" w14:textId="77777777" w:rsidR="00676A7F" w:rsidRPr="00676A7F" w:rsidRDefault="00676A7F" w:rsidP="00676A7F">
      <w:pPr>
        <w:spacing w:after="0" w:line="240" w:lineRule="auto"/>
        <w:rPr>
          <w:rFonts w:ascii="Muli" w:hAnsi="Muli"/>
          <w:lang w:val="es-ES_tradnl"/>
        </w:rPr>
      </w:pPr>
    </w:p>
    <w:p w14:paraId="39AC00AE" w14:textId="0613E1CE" w:rsidR="00AB6375" w:rsidRPr="0014552F" w:rsidRDefault="00676A7F" w:rsidP="0014552F">
      <w:pPr>
        <w:spacing w:after="0" w:line="240" w:lineRule="auto"/>
        <w:rPr>
          <w:rFonts w:ascii="Muli" w:hAnsi="Muli"/>
        </w:rPr>
      </w:pPr>
      <w:r w:rsidRPr="0014552F">
        <w:rPr>
          <w:rFonts w:ascii="Muli" w:hAnsi="Muli"/>
          <w:lang w:val="es-ES_tradnl"/>
        </w:rPr>
        <w:t xml:space="preserve">Desde </w:t>
      </w:r>
      <w:r w:rsidR="0014552F" w:rsidRPr="0014552F">
        <w:rPr>
          <w:rFonts w:ascii="Muli" w:hAnsi="Muli"/>
        </w:rPr>
        <w:t>iAhorro prevemos para 2026 un año de asentamiento y normalización. Con un sector financiero que mantiene su rigor en la concesión de crédito y compradores solventes, esperamos un ritmo de firmas equilibrado. Sin embargo, este escenario está supeditado a la evolución de factores económicos globales, como las tensiones en Irán. El impacto de estas en la inflación será, sin duda, la clave que dicte la próxima política monetaria del Banco Central Europeo.</w:t>
      </w:r>
    </w:p>
    <w:p w14:paraId="414C2763" w14:textId="77777777" w:rsidR="0014552F" w:rsidRDefault="0014552F" w:rsidP="0014552F">
      <w:pPr>
        <w:spacing w:after="0" w:line="240" w:lineRule="auto"/>
        <w:rPr>
          <w:rFonts w:ascii="Muli" w:hAnsi="Muli"/>
          <w:i/>
          <w:iCs/>
        </w:rPr>
      </w:pPr>
    </w:p>
    <w:p w14:paraId="24825CC3" w14:textId="77777777" w:rsidR="0014552F" w:rsidRPr="00676A7F" w:rsidRDefault="0014552F" w:rsidP="0014552F">
      <w:pPr>
        <w:spacing w:after="0" w:line="240" w:lineRule="auto"/>
      </w:pPr>
    </w:p>
    <w:p w14:paraId="1A6D20AE" w14:textId="77777777" w:rsidR="00063440" w:rsidRDefault="00063440" w:rsidP="00063440">
      <w:pPr>
        <w:rPr>
          <w:rStyle w:val="contentpasted0"/>
          <w:rFonts w:ascii="Muli" w:hAnsi="Muli"/>
          <w:color w:val="000000"/>
          <w:u w:val="single"/>
        </w:rPr>
      </w:pPr>
      <w:r>
        <w:rPr>
          <w:rStyle w:val="contentpasted0"/>
          <w:rFonts w:ascii="Muli" w:hAnsi="Muli"/>
          <w:color w:val="000000"/>
          <w:u w:val="single"/>
        </w:rPr>
        <w:t>Laura Martínez, portavoz de iAhorro.</w:t>
      </w:r>
    </w:p>
    <w:p w14:paraId="6C4524B5" w14:textId="77777777" w:rsidR="00063440" w:rsidRDefault="00063440" w:rsidP="00063440">
      <w:pPr>
        <w:rPr>
          <w:rStyle w:val="contentpasted0"/>
          <w:rFonts w:ascii="Muli" w:hAnsi="Muli"/>
          <w:color w:val="000000"/>
          <w:u w:val="single"/>
        </w:rPr>
      </w:pPr>
    </w:p>
    <w:p w14:paraId="339E2652" w14:textId="77777777" w:rsidR="00063440" w:rsidRDefault="00063440" w:rsidP="00063440">
      <w:pPr>
        <w:rPr>
          <w:rStyle w:val="contentpasted0"/>
          <w:rFonts w:ascii="Muli" w:hAnsi="Muli"/>
          <w:color w:val="000000"/>
          <w:lang w:val="es-ES_tradnl"/>
        </w:rPr>
      </w:pPr>
      <w:r>
        <w:rPr>
          <w:rStyle w:val="contentpasted0"/>
          <w:rFonts w:ascii="Muli" w:hAnsi="Muli"/>
          <w:b/>
          <w:bCs/>
          <w:color w:val="243962"/>
          <w:lang w:val="es-ES_tradnl"/>
        </w:rPr>
        <w:t xml:space="preserve">Si necesita más información o declaraciones en formato audiovisual: </w:t>
      </w:r>
      <w:r>
        <w:rPr>
          <w:rStyle w:val="contentpasted0"/>
          <w:rFonts w:ascii="Muli" w:hAnsi="Muli"/>
          <w:color w:val="000000"/>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1980"/>
        <w:gridCol w:w="2556"/>
        <w:gridCol w:w="2556"/>
      </w:tblGrid>
      <w:tr w:rsidR="00063440" w:rsidRPr="00063440" w14:paraId="1491773A" w14:textId="77777777" w:rsidTr="00063440">
        <w:trPr>
          <w:trHeight w:val="132"/>
        </w:trPr>
        <w:tc>
          <w:tcPr>
            <w:tcW w:w="1980" w:type="dxa"/>
            <w:tcMar>
              <w:top w:w="0" w:type="dxa"/>
              <w:left w:w="108" w:type="dxa"/>
              <w:bottom w:w="0" w:type="dxa"/>
              <w:right w:w="108" w:type="dxa"/>
            </w:tcMar>
            <w:vAlign w:val="center"/>
          </w:tcPr>
          <w:p w14:paraId="5530E749" w14:textId="7CD64DAA" w:rsidR="00063440" w:rsidRDefault="00063440" w:rsidP="00235CB5">
            <w:pPr>
              <w:spacing w:line="252" w:lineRule="auto"/>
              <w:rPr>
                <w:rFonts w:ascii="Aptos" w:hAnsi="Aptos" w:cs="Aptos"/>
                <w:b/>
                <w:bCs/>
                <w:sz w:val="18"/>
                <w:szCs w:val="18"/>
              </w:rPr>
            </w:pPr>
          </w:p>
        </w:tc>
        <w:tc>
          <w:tcPr>
            <w:tcW w:w="2556" w:type="dxa"/>
            <w:tcMar>
              <w:top w:w="0" w:type="dxa"/>
              <w:left w:w="108" w:type="dxa"/>
              <w:bottom w:w="0" w:type="dxa"/>
              <w:right w:w="108" w:type="dxa"/>
            </w:tcMar>
            <w:vAlign w:val="center"/>
          </w:tcPr>
          <w:p w14:paraId="426BD1F7" w14:textId="77777777" w:rsidR="00063440" w:rsidRPr="001431D8" w:rsidRDefault="00063440" w:rsidP="00235CB5">
            <w:pPr>
              <w:spacing w:line="252" w:lineRule="auto"/>
              <w:jc w:val="center"/>
              <w:rPr>
                <w:b/>
                <w:bCs/>
                <w:sz w:val="18"/>
                <w:szCs w:val="18"/>
              </w:rPr>
            </w:pPr>
          </w:p>
        </w:tc>
        <w:tc>
          <w:tcPr>
            <w:tcW w:w="2556" w:type="dxa"/>
            <w:tcMar>
              <w:top w:w="0" w:type="dxa"/>
              <w:left w:w="108" w:type="dxa"/>
              <w:bottom w:w="0" w:type="dxa"/>
              <w:right w:w="108" w:type="dxa"/>
            </w:tcMar>
            <w:vAlign w:val="center"/>
          </w:tcPr>
          <w:p w14:paraId="3D62DBA7" w14:textId="3FB731D8" w:rsidR="00063440" w:rsidRPr="001431D8" w:rsidRDefault="00063440" w:rsidP="00235CB5">
            <w:pPr>
              <w:spacing w:line="252" w:lineRule="auto"/>
              <w:rPr>
                <w:b/>
                <w:bCs/>
                <w:sz w:val="18"/>
                <w:szCs w:val="18"/>
              </w:rPr>
            </w:pPr>
          </w:p>
        </w:tc>
      </w:tr>
    </w:tbl>
    <w:p w14:paraId="6CFBFEDC" w14:textId="77777777" w:rsidR="00063440" w:rsidRPr="001431D8" w:rsidRDefault="00063440"/>
    <w:sectPr w:rsidR="00063440" w:rsidRPr="001431D8">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9878" w14:textId="77777777" w:rsidR="000E2EDD" w:rsidRDefault="000E2EDD" w:rsidP="00063440">
      <w:pPr>
        <w:spacing w:after="0" w:line="240" w:lineRule="auto"/>
      </w:pPr>
      <w:r>
        <w:separator/>
      </w:r>
    </w:p>
  </w:endnote>
  <w:endnote w:type="continuationSeparator" w:id="0">
    <w:p w14:paraId="3CF8CE9F" w14:textId="77777777" w:rsidR="000E2EDD" w:rsidRDefault="000E2EDD" w:rsidP="0006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altName w:val="Calibri"/>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92" w:type="dxa"/>
      <w:tblCellMar>
        <w:left w:w="0" w:type="dxa"/>
        <w:right w:w="0" w:type="dxa"/>
      </w:tblCellMar>
      <w:tblLook w:val="04A0" w:firstRow="1" w:lastRow="0" w:firstColumn="1" w:lastColumn="0" w:noHBand="0" w:noVBand="1"/>
    </w:tblPr>
    <w:tblGrid>
      <w:gridCol w:w="2016"/>
      <w:gridCol w:w="2554"/>
      <w:gridCol w:w="2522"/>
    </w:tblGrid>
    <w:tr w:rsidR="00063440" w:rsidRPr="001431D8" w14:paraId="33BE72DA" w14:textId="77777777" w:rsidTr="0014552F">
      <w:trPr>
        <w:trHeight w:val="132"/>
      </w:trPr>
      <w:tc>
        <w:tcPr>
          <w:tcW w:w="1980" w:type="dxa"/>
          <w:tcMar>
            <w:top w:w="0" w:type="dxa"/>
            <w:left w:w="108" w:type="dxa"/>
            <w:bottom w:w="0" w:type="dxa"/>
            <w:right w:w="108" w:type="dxa"/>
          </w:tcMar>
          <w:vAlign w:val="center"/>
          <w:hideMark/>
        </w:tcPr>
        <w:p w14:paraId="48A523D3" w14:textId="77777777" w:rsidR="00063440" w:rsidRDefault="00063440" w:rsidP="00063440">
          <w:pPr>
            <w:spacing w:line="252" w:lineRule="auto"/>
            <w:rPr>
              <w:rFonts w:ascii="Aptos" w:hAnsi="Aptos" w:cs="Aptos"/>
              <w:b/>
              <w:bCs/>
              <w:sz w:val="18"/>
              <w:szCs w:val="18"/>
            </w:rPr>
          </w:pPr>
          <w:r>
            <w:rPr>
              <w:noProof/>
            </w:rPr>
            <w:drawing>
              <wp:inline distT="0" distB="0" distL="0" distR="0" wp14:anchorId="2C48D57C" wp14:editId="0132CA0C">
                <wp:extent cx="1143000" cy="565999"/>
                <wp:effectExtent l="0" t="0" r="0" b="0"/>
                <wp:docPr id="1332602733" name="Imagen 1" descr="Logotipo&#10;&#10;Descripción generada automáticamente">
                  <a:extLst xmlns:a="http://schemas.openxmlformats.org/drawingml/2006/main">
                    <a:ext uri="{FF2B5EF4-FFF2-40B4-BE49-F238E27FC236}">
                      <a16:creationId xmlns:a16="http://schemas.microsoft.com/office/drawing/2014/main" id="{2BA0CFD0-A3FD-445D-8C93-3548EA545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025C2C20" w14:textId="77777777" w:rsidR="00063440" w:rsidRDefault="00063440" w:rsidP="00063440">
          <w:pPr>
            <w:spacing w:line="252" w:lineRule="auto"/>
            <w:jc w:val="center"/>
            <w:rPr>
              <w:b/>
              <w:bCs/>
              <w:sz w:val="18"/>
              <w:szCs w:val="18"/>
            </w:rPr>
          </w:pPr>
        </w:p>
        <w:p w14:paraId="25156C44" w14:textId="77777777" w:rsidR="00063440" w:rsidRDefault="00063440" w:rsidP="00063440">
          <w:pPr>
            <w:spacing w:line="252" w:lineRule="auto"/>
            <w:jc w:val="center"/>
            <w:rPr>
              <w:b/>
              <w:bCs/>
              <w:sz w:val="18"/>
              <w:szCs w:val="18"/>
            </w:rPr>
          </w:pPr>
        </w:p>
        <w:p w14:paraId="41E73FBA" w14:textId="77777777" w:rsidR="00063440" w:rsidRDefault="00063440" w:rsidP="00063440">
          <w:pPr>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2" w:history="1">
            <w:r w:rsidRPr="009D144E">
              <w:rPr>
                <w:rStyle w:val="Hipervnculo"/>
                <w:sz w:val="18"/>
                <w:szCs w:val="18"/>
              </w:rPr>
              <w:t>laura.martinez@iahorro.com</w:t>
            </w:r>
          </w:hyperlink>
        </w:p>
        <w:p w14:paraId="5F8496F0" w14:textId="77777777" w:rsidR="00063440" w:rsidRDefault="00063440" w:rsidP="00063440">
          <w:pPr>
            <w:spacing w:line="252" w:lineRule="auto"/>
            <w:jc w:val="center"/>
            <w:rPr>
              <w:b/>
              <w:bCs/>
              <w:sz w:val="18"/>
              <w:szCs w:val="18"/>
              <w:lang w:val="pt-PT"/>
            </w:rPr>
          </w:pPr>
        </w:p>
        <w:p w14:paraId="7C9F6341" w14:textId="77777777" w:rsidR="00063440" w:rsidRDefault="00063440" w:rsidP="00063440">
          <w:pPr>
            <w:spacing w:line="252" w:lineRule="auto"/>
            <w:jc w:val="center"/>
            <w:rPr>
              <w:b/>
              <w:bCs/>
              <w:sz w:val="18"/>
              <w:szCs w:val="18"/>
              <w:lang w:val="pt-PT"/>
            </w:rPr>
          </w:pPr>
        </w:p>
      </w:tc>
      <w:tc>
        <w:tcPr>
          <w:tcW w:w="2556" w:type="dxa"/>
          <w:tcMar>
            <w:top w:w="0" w:type="dxa"/>
            <w:left w:w="108" w:type="dxa"/>
            <w:bottom w:w="0" w:type="dxa"/>
            <w:right w:w="108" w:type="dxa"/>
          </w:tcMar>
          <w:vAlign w:val="center"/>
        </w:tcPr>
        <w:p w14:paraId="09AFAE4D" w14:textId="645AF777" w:rsidR="00063440" w:rsidRDefault="00063440" w:rsidP="00063440">
          <w:pPr>
            <w:spacing w:line="252" w:lineRule="auto"/>
            <w:rPr>
              <w:b/>
              <w:bCs/>
              <w:sz w:val="18"/>
              <w:szCs w:val="18"/>
              <w:lang w:val="pt-PT"/>
            </w:rPr>
          </w:pPr>
        </w:p>
      </w:tc>
    </w:tr>
  </w:tbl>
  <w:p w14:paraId="7B1050EC" w14:textId="77777777" w:rsidR="00063440" w:rsidRPr="00063440" w:rsidRDefault="00063440" w:rsidP="00063440">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FF5A8" w14:textId="77777777" w:rsidR="000E2EDD" w:rsidRDefault="000E2EDD" w:rsidP="00063440">
      <w:pPr>
        <w:spacing w:after="0" w:line="240" w:lineRule="auto"/>
      </w:pPr>
      <w:r>
        <w:separator/>
      </w:r>
    </w:p>
  </w:footnote>
  <w:footnote w:type="continuationSeparator" w:id="0">
    <w:p w14:paraId="771F07E2" w14:textId="77777777" w:rsidR="000E2EDD" w:rsidRDefault="000E2EDD" w:rsidP="000634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75"/>
    <w:rsid w:val="00063440"/>
    <w:rsid w:val="000E2EDD"/>
    <w:rsid w:val="000E3815"/>
    <w:rsid w:val="00142A50"/>
    <w:rsid w:val="001431D8"/>
    <w:rsid w:val="0014552F"/>
    <w:rsid w:val="00403394"/>
    <w:rsid w:val="00504B3D"/>
    <w:rsid w:val="00526F67"/>
    <w:rsid w:val="005D12F2"/>
    <w:rsid w:val="00676A7F"/>
    <w:rsid w:val="006E29BC"/>
    <w:rsid w:val="007B261B"/>
    <w:rsid w:val="008E5F86"/>
    <w:rsid w:val="00904F73"/>
    <w:rsid w:val="00A266EC"/>
    <w:rsid w:val="00AB6375"/>
    <w:rsid w:val="00B754E8"/>
    <w:rsid w:val="00C358C7"/>
    <w:rsid w:val="00D101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563E"/>
  <w15:chartTrackingRefBased/>
  <w15:docId w15:val="{2B758B21-0282-4769-9642-26B5AF38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375"/>
  </w:style>
  <w:style w:type="paragraph" w:styleId="Ttulo1">
    <w:name w:val="heading 1"/>
    <w:basedOn w:val="Normal"/>
    <w:next w:val="Normal"/>
    <w:link w:val="Ttulo1Car"/>
    <w:uiPriority w:val="9"/>
    <w:qFormat/>
    <w:rsid w:val="00AB6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3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3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3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3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3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3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3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3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3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3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3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3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3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3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3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375"/>
    <w:rPr>
      <w:rFonts w:eastAsiaTheme="majorEastAsia" w:cstheme="majorBidi"/>
      <w:color w:val="272727" w:themeColor="text1" w:themeTint="D8"/>
    </w:rPr>
  </w:style>
  <w:style w:type="paragraph" w:styleId="Ttulo">
    <w:name w:val="Title"/>
    <w:basedOn w:val="Normal"/>
    <w:next w:val="Normal"/>
    <w:link w:val="TtuloCar"/>
    <w:uiPriority w:val="10"/>
    <w:qFormat/>
    <w:rsid w:val="00AB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3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3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3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375"/>
    <w:pPr>
      <w:spacing w:before="160"/>
      <w:jc w:val="center"/>
    </w:pPr>
    <w:rPr>
      <w:i/>
      <w:iCs/>
      <w:color w:val="404040" w:themeColor="text1" w:themeTint="BF"/>
    </w:rPr>
  </w:style>
  <w:style w:type="character" w:customStyle="1" w:styleId="CitaCar">
    <w:name w:val="Cita Car"/>
    <w:basedOn w:val="Fuentedeprrafopredeter"/>
    <w:link w:val="Cita"/>
    <w:uiPriority w:val="29"/>
    <w:rsid w:val="00AB6375"/>
    <w:rPr>
      <w:i/>
      <w:iCs/>
      <w:color w:val="404040" w:themeColor="text1" w:themeTint="BF"/>
    </w:rPr>
  </w:style>
  <w:style w:type="paragraph" w:styleId="Prrafodelista">
    <w:name w:val="List Paragraph"/>
    <w:basedOn w:val="Normal"/>
    <w:uiPriority w:val="34"/>
    <w:qFormat/>
    <w:rsid w:val="00AB6375"/>
    <w:pPr>
      <w:ind w:left="720"/>
      <w:contextualSpacing/>
    </w:pPr>
  </w:style>
  <w:style w:type="character" w:styleId="nfasisintenso">
    <w:name w:val="Intense Emphasis"/>
    <w:basedOn w:val="Fuentedeprrafopredeter"/>
    <w:uiPriority w:val="21"/>
    <w:qFormat/>
    <w:rsid w:val="00AB6375"/>
    <w:rPr>
      <w:i/>
      <w:iCs/>
      <w:color w:val="0F4761" w:themeColor="accent1" w:themeShade="BF"/>
    </w:rPr>
  </w:style>
  <w:style w:type="paragraph" w:styleId="Citadestacada">
    <w:name w:val="Intense Quote"/>
    <w:basedOn w:val="Normal"/>
    <w:next w:val="Normal"/>
    <w:link w:val="CitadestacadaCar"/>
    <w:uiPriority w:val="30"/>
    <w:qFormat/>
    <w:rsid w:val="00AB6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375"/>
    <w:rPr>
      <w:i/>
      <w:iCs/>
      <w:color w:val="0F4761" w:themeColor="accent1" w:themeShade="BF"/>
    </w:rPr>
  </w:style>
  <w:style w:type="character" w:styleId="Referenciaintensa">
    <w:name w:val="Intense Reference"/>
    <w:basedOn w:val="Fuentedeprrafopredeter"/>
    <w:uiPriority w:val="32"/>
    <w:qFormat/>
    <w:rsid w:val="00AB6375"/>
    <w:rPr>
      <w:b/>
      <w:bCs/>
      <w:smallCaps/>
      <w:color w:val="0F4761" w:themeColor="accent1" w:themeShade="BF"/>
      <w:spacing w:val="5"/>
    </w:rPr>
  </w:style>
  <w:style w:type="character" w:customStyle="1" w:styleId="contentpasted0">
    <w:name w:val="contentpasted0"/>
    <w:basedOn w:val="Fuentedeprrafopredeter"/>
    <w:rsid w:val="00AB6375"/>
  </w:style>
  <w:style w:type="character" w:styleId="Hipervnculo">
    <w:name w:val="Hyperlink"/>
    <w:basedOn w:val="Fuentedeprrafopredeter"/>
    <w:uiPriority w:val="99"/>
    <w:unhideWhenUsed/>
    <w:rsid w:val="00063440"/>
    <w:rPr>
      <w:color w:val="0563C1"/>
      <w:u w:val="single"/>
    </w:rPr>
  </w:style>
  <w:style w:type="paragraph" w:styleId="Encabezado">
    <w:name w:val="header"/>
    <w:basedOn w:val="Normal"/>
    <w:link w:val="EncabezadoCar"/>
    <w:uiPriority w:val="99"/>
    <w:unhideWhenUsed/>
    <w:rsid w:val="000634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63440"/>
  </w:style>
  <w:style w:type="paragraph" w:styleId="Piedepgina">
    <w:name w:val="footer"/>
    <w:basedOn w:val="Normal"/>
    <w:link w:val="PiedepginaCar"/>
    <w:uiPriority w:val="99"/>
    <w:unhideWhenUsed/>
    <w:rsid w:val="000634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mailto:laura.martinez@iahorr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563</Words>
  <Characters>3099</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Martinez</dc:creator>
  <cp:keywords/>
  <dc:description/>
  <cp:lastModifiedBy>Laura Martinez</cp:lastModifiedBy>
  <cp:revision>13</cp:revision>
  <dcterms:created xsi:type="dcterms:W3CDTF">2026-04-23T11:48:00Z</dcterms:created>
  <dcterms:modified xsi:type="dcterms:W3CDTF">2026-04-24T07:13:00Z</dcterms:modified>
</cp:coreProperties>
</file>