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CE959" w14:textId="77777777" w:rsidR="001B687B" w:rsidRDefault="001B687B" w:rsidP="001B687B">
      <w:pPr>
        <w:spacing w:after="1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03724381"/>
      <w:r>
        <w:rPr>
          <w:rStyle w:val="contentpasted0"/>
          <w:rFonts w:ascii="Muli" w:hAnsi="Muli"/>
          <w:b/>
          <w:bCs/>
          <w:color w:val="000000"/>
          <w:sz w:val="24"/>
          <w:szCs w:val="24"/>
        </w:rPr>
        <w:t>Análisis de los datos del INE, por Laura Martínez</w:t>
      </w:r>
    </w:p>
    <w:p w14:paraId="0300A3B9" w14:textId="1EA07EBD" w:rsidR="001B687B" w:rsidRDefault="001B687B" w:rsidP="001B687B">
      <w:pPr>
        <w:jc w:val="center"/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</w:pPr>
      <w:r w:rsidRPr="001B687B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>España</w:t>
      </w:r>
      <w:r w:rsidR="00DD3B6E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 supera</w:t>
      </w:r>
      <w:r w:rsidRPr="001B687B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 </w:t>
      </w: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>el medio millón de</w:t>
      </w:r>
      <w:r w:rsidRPr="001B687B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 hipotecas</w:t>
      </w: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 firmadas</w:t>
      </w:r>
      <w:r w:rsidRPr="001B687B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 en 2025</w:t>
      </w: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, </w:t>
      </w:r>
      <w:r w:rsidRPr="001B687B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su mejor dato </w:t>
      </w: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>registrado e</w:t>
      </w:r>
      <w:r w:rsidRPr="001B687B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>n más de una década</w:t>
      </w:r>
      <w: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 xml:space="preserve">, </w:t>
      </w:r>
      <w:r w:rsidR="00057048"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  <w:t>desde el año 2010</w:t>
      </w:r>
    </w:p>
    <w:p w14:paraId="62F5A4F1" w14:textId="5AA272A4" w:rsidR="001B687B" w:rsidRDefault="00057048" w:rsidP="00BD79B8">
      <w:pPr>
        <w:pStyle w:val="paragraph"/>
        <w:numPr>
          <w:ilvl w:val="0"/>
          <w:numId w:val="1"/>
        </w:numPr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 xml:space="preserve">Desde el comparador y asesor hipotecario </w:t>
      </w:r>
      <w:r w:rsidR="00823AFA">
        <w:rPr>
          <w:rStyle w:val="normaltextrun"/>
          <w:rFonts w:ascii="Muli" w:hAnsi="Muli"/>
        </w:rPr>
        <w:t>iAhorro analizamos los datos publicados por el Instituto Nacional de Estadística</w:t>
      </w:r>
      <w:r w:rsidR="00956EC3">
        <w:rPr>
          <w:rStyle w:val="normaltextrun"/>
          <w:rFonts w:ascii="Muli" w:hAnsi="Muli"/>
        </w:rPr>
        <w:t xml:space="preserve"> y qué podría pasar durante este año 2026 respecto a las hipotecas.</w:t>
      </w:r>
    </w:p>
    <w:p w14:paraId="4A95A003" w14:textId="77777777" w:rsidR="001B687B" w:rsidRDefault="001B687B" w:rsidP="001B687B">
      <w:pPr>
        <w:rPr>
          <w:rFonts w:ascii="Montserrat" w:hAnsi="Montserrat"/>
          <w:b/>
          <w:bCs/>
          <w:color w:val="243962"/>
          <w:sz w:val="32"/>
          <w:szCs w:val="32"/>
          <w:lang w:eastAsia="es-ES"/>
          <w14:ligatures w14:val="none"/>
        </w:rPr>
      </w:pPr>
    </w:p>
    <w:p w14:paraId="4E4116A3" w14:textId="4CAE8A45" w:rsidR="001B687B" w:rsidRDefault="001B687B" w:rsidP="001B687B">
      <w:pPr>
        <w:rPr>
          <w:rFonts w:ascii="Muli" w:hAnsi="Muli"/>
          <w:sz w:val="24"/>
          <w:szCs w:val="24"/>
        </w:rPr>
      </w:pPr>
      <w:r w:rsidRPr="200BADFB">
        <w:rPr>
          <w:rFonts w:ascii="Muli" w:hAnsi="Muli"/>
          <w:sz w:val="24"/>
          <w:szCs w:val="24"/>
        </w:rPr>
        <w:t>Madrid</w:t>
      </w:r>
      <w:r>
        <w:rPr>
          <w:rFonts w:ascii="Muli" w:hAnsi="Muli"/>
          <w:sz w:val="24"/>
          <w:szCs w:val="24"/>
        </w:rPr>
        <w:t>, 19 de febrero de 2026</w:t>
      </w:r>
    </w:p>
    <w:p w14:paraId="6CD031D3" w14:textId="637E0F30" w:rsidR="001B687B" w:rsidRDefault="001B687B" w:rsidP="001B687B">
      <w:pPr>
        <w:pStyle w:val="paragraph"/>
        <w:spacing w:before="240"/>
        <w:textAlignment w:val="baseline"/>
        <w:rPr>
          <w:rStyle w:val="normaltextrun"/>
          <w:rFonts w:ascii="Muli" w:hAnsi="Muli"/>
        </w:rPr>
      </w:pPr>
      <w:r>
        <w:rPr>
          <w:rStyle w:val="normaltextrun"/>
          <w:rFonts w:ascii="Muli" w:hAnsi="Muli"/>
        </w:rPr>
        <w:t>“</w:t>
      </w:r>
      <w:r w:rsidRPr="001B687B">
        <w:rPr>
          <w:rStyle w:val="normaltextrun"/>
          <w:rFonts w:ascii="Muli" w:hAnsi="Muli"/>
        </w:rPr>
        <w:t>Los datos publicados</w:t>
      </w:r>
      <w:r>
        <w:rPr>
          <w:rStyle w:val="normaltextrun"/>
          <w:rFonts w:ascii="Muli" w:hAnsi="Muli"/>
        </w:rPr>
        <w:t xml:space="preserve"> este jueves</w:t>
      </w:r>
      <w:r w:rsidRPr="001B687B">
        <w:rPr>
          <w:rStyle w:val="normaltextrun"/>
          <w:rFonts w:ascii="Muli" w:hAnsi="Muli"/>
        </w:rPr>
        <w:t xml:space="preserve"> por el Instituto Nacional de Estadística (INE</w:t>
      </w:r>
      <w:r>
        <w:rPr>
          <w:rStyle w:val="normaltextrun"/>
          <w:rFonts w:ascii="Muli" w:hAnsi="Muli"/>
        </w:rPr>
        <w:t>)</w:t>
      </w:r>
      <w:r w:rsidRPr="001B687B">
        <w:rPr>
          <w:rStyle w:val="normaltextrun"/>
          <w:rFonts w:ascii="Muli" w:hAnsi="Muli"/>
        </w:rPr>
        <w:t xml:space="preserve"> </w:t>
      </w:r>
      <w:r>
        <w:rPr>
          <w:rStyle w:val="normaltextrun"/>
          <w:rFonts w:ascii="Muli" w:hAnsi="Muli"/>
        </w:rPr>
        <w:t>han confirmado</w:t>
      </w:r>
      <w:r w:rsidRPr="001B687B">
        <w:rPr>
          <w:rStyle w:val="normaltextrun"/>
          <w:rFonts w:ascii="Muli" w:hAnsi="Muli"/>
        </w:rPr>
        <w:t xml:space="preserve"> lo que </w:t>
      </w:r>
      <w:r>
        <w:rPr>
          <w:rStyle w:val="normaltextrun"/>
          <w:rFonts w:ascii="Muli" w:hAnsi="Muli"/>
        </w:rPr>
        <w:t xml:space="preserve">desde </w:t>
      </w:r>
      <w:r w:rsidRPr="001B687B">
        <w:rPr>
          <w:rStyle w:val="normaltextrun"/>
          <w:rFonts w:ascii="Muli" w:hAnsi="Muli"/>
        </w:rPr>
        <w:t xml:space="preserve">el sector hipotecario ya percibíamos desde hace tiempo: 2025 fue el año en el que el mercado </w:t>
      </w:r>
      <w:r w:rsidR="00956EC3">
        <w:rPr>
          <w:rStyle w:val="normaltextrun"/>
          <w:rFonts w:ascii="Muli" w:hAnsi="Muli"/>
        </w:rPr>
        <w:t>remontó</w:t>
      </w:r>
      <w:r w:rsidRPr="001B687B">
        <w:rPr>
          <w:rStyle w:val="normaltextrun"/>
          <w:rFonts w:ascii="Muli" w:hAnsi="Muli"/>
        </w:rPr>
        <w:t xml:space="preserve"> con fuerza en España.</w:t>
      </w:r>
      <w:r>
        <w:rPr>
          <w:rStyle w:val="normaltextrun"/>
          <w:rFonts w:ascii="Muli" w:hAnsi="Muli"/>
        </w:rPr>
        <w:t xml:space="preserve"> </w:t>
      </w:r>
      <w:r w:rsidRPr="001B687B">
        <w:rPr>
          <w:rStyle w:val="normaltextrun"/>
          <w:rFonts w:ascii="Muli" w:hAnsi="Muli"/>
        </w:rPr>
        <w:t>Tras el freno provocado en 2023 por la rápida subida de los tipos de interés y</w:t>
      </w:r>
      <w:r>
        <w:rPr>
          <w:rStyle w:val="normaltextrun"/>
          <w:rFonts w:ascii="Muli" w:hAnsi="Muli"/>
        </w:rPr>
        <w:t xml:space="preserve"> tras</w:t>
      </w:r>
      <w:r w:rsidRPr="001B687B">
        <w:rPr>
          <w:rStyle w:val="normaltextrun"/>
          <w:rFonts w:ascii="Muli" w:hAnsi="Muli"/>
        </w:rPr>
        <w:t xml:space="preserve"> un 2024 todavía marcado por la prudencia, el</w:t>
      </w:r>
      <w:r>
        <w:rPr>
          <w:rStyle w:val="normaltextrun"/>
          <w:rFonts w:ascii="Muli" w:hAnsi="Muli"/>
        </w:rPr>
        <w:t xml:space="preserve"> año pasado ha cerrado</w:t>
      </w:r>
      <w:r w:rsidRPr="001B687B">
        <w:rPr>
          <w:rStyle w:val="normaltextrun"/>
          <w:rFonts w:ascii="Muli" w:hAnsi="Muli"/>
        </w:rPr>
        <w:t xml:space="preserve"> con </w:t>
      </w:r>
      <w:r>
        <w:rPr>
          <w:rStyle w:val="normaltextrun"/>
          <w:rFonts w:ascii="Muli" w:hAnsi="Muli"/>
        </w:rPr>
        <w:t xml:space="preserve">un total de </w:t>
      </w:r>
      <w:r w:rsidR="00956EC3">
        <w:rPr>
          <w:rStyle w:val="normaltextrun"/>
          <w:rFonts w:ascii="Muli" w:hAnsi="Muli"/>
        </w:rPr>
        <w:t>501.073</w:t>
      </w:r>
      <w:r>
        <w:rPr>
          <w:rStyle w:val="normaltextrun"/>
          <w:rFonts w:ascii="Muli" w:hAnsi="Muli"/>
        </w:rPr>
        <w:t xml:space="preserve"> hipotecas firmadas, lo que supone un aumento del </w:t>
      </w:r>
      <w:r w:rsidR="00956EC3">
        <w:rPr>
          <w:rStyle w:val="normaltextrun"/>
          <w:rFonts w:ascii="Muli" w:hAnsi="Muli"/>
        </w:rPr>
        <w:t>17,73</w:t>
      </w:r>
      <w:r>
        <w:rPr>
          <w:rStyle w:val="normaltextrun"/>
          <w:rFonts w:ascii="Muli" w:hAnsi="Muli"/>
        </w:rPr>
        <w:t xml:space="preserve">% respecto al año anterior, y el mejor dato registrado en más de una década, desde las </w:t>
      </w:r>
      <w:r w:rsidR="00956EC3">
        <w:rPr>
          <w:rStyle w:val="normaltextrun"/>
          <w:rFonts w:ascii="Muli" w:hAnsi="Muli"/>
        </w:rPr>
        <w:t>607.</w:t>
      </w:r>
      <w:r w:rsidR="00827DCD">
        <w:rPr>
          <w:rStyle w:val="normaltextrun"/>
          <w:rFonts w:ascii="Muli" w:hAnsi="Muli"/>
        </w:rPr>
        <w:t>535</w:t>
      </w:r>
      <w:r>
        <w:rPr>
          <w:rStyle w:val="normaltextrun"/>
          <w:rFonts w:ascii="Muli" w:hAnsi="Muli"/>
        </w:rPr>
        <w:t xml:space="preserve"> </w:t>
      </w:r>
      <w:r w:rsidR="00827DCD">
        <w:rPr>
          <w:rStyle w:val="normaltextrun"/>
          <w:rFonts w:ascii="Muli" w:hAnsi="Muli"/>
        </w:rPr>
        <w:t xml:space="preserve">operaciones </w:t>
      </w:r>
      <w:r>
        <w:rPr>
          <w:rStyle w:val="normaltextrun"/>
          <w:rFonts w:ascii="Muli" w:hAnsi="Muli"/>
        </w:rPr>
        <w:t>registradas en 2010.</w:t>
      </w:r>
    </w:p>
    <w:p w14:paraId="386F2EE2" w14:textId="77777777" w:rsidR="00C2376E" w:rsidRDefault="00DD3B6E" w:rsidP="00F6617C">
      <w:pPr>
        <w:pStyle w:val="paragraph"/>
        <w:spacing w:before="240"/>
        <w:textAlignment w:val="baseline"/>
        <w:rPr>
          <w:rFonts w:ascii="Muli" w:hAnsi="Muli"/>
        </w:rPr>
      </w:pPr>
      <w:r>
        <w:rPr>
          <w:rFonts w:ascii="Muli" w:hAnsi="Muli"/>
          <w:noProof/>
        </w:rPr>
        <w:drawing>
          <wp:inline distT="0" distB="0" distL="0" distR="0" wp14:anchorId="6A481FE1" wp14:editId="20224159">
            <wp:extent cx="5400040" cy="3037205"/>
            <wp:effectExtent l="0" t="0" r="0" b="0"/>
            <wp:docPr id="1254923977" name="Imagen 1" descr="Gráfico, Gráfico de barras&#10;&#10;El contenido generado por IA puede ser incorrecto.">
              <a:extLst xmlns:a="http://schemas.openxmlformats.org/drawingml/2006/main">
                <a:ext uri="{FF2B5EF4-FFF2-40B4-BE49-F238E27FC236}">
                  <a16:creationId xmlns:a16="http://schemas.microsoft.com/office/drawing/2014/main" id="{8E2A98CF-636A-4EE8-8343-06BC24E43C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923977" name="Imagen 1" descr="Gráfico, Gráfico de barras&#10;&#10;El contenido generado por IA puede ser incorrecto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ED8B22" w14:textId="4F2FEDC6" w:rsidR="00F6617C" w:rsidRDefault="00C2376E" w:rsidP="00F6617C">
      <w:pPr>
        <w:pStyle w:val="paragraph"/>
        <w:spacing w:before="240"/>
        <w:textAlignment w:val="baseline"/>
        <w:rPr>
          <w:rFonts w:ascii="Muli" w:hAnsi="Muli"/>
        </w:rPr>
      </w:pPr>
      <w:r>
        <w:rPr>
          <w:rFonts w:ascii="Muli" w:hAnsi="Muli"/>
        </w:rPr>
        <w:t>E</w:t>
      </w:r>
      <w:r w:rsidR="001B687B">
        <w:rPr>
          <w:rFonts w:ascii="Muli" w:hAnsi="Muli"/>
        </w:rPr>
        <w:t>so sí, l</w:t>
      </w:r>
      <w:r w:rsidR="001B687B" w:rsidRPr="001B687B">
        <w:rPr>
          <w:rFonts w:ascii="Muli" w:hAnsi="Muli"/>
        </w:rPr>
        <w:t>as cifras oficiales, que como es habitual se publican con dos meses de retraso, reflejan algo más que un simple repunte estadístico. Confirman un cambio de ciclo.</w:t>
      </w:r>
      <w:r w:rsidR="00F6617C" w:rsidRPr="00F6617C">
        <w:rPr>
          <w:rFonts w:ascii="Muli" w:hAnsi="Muli"/>
        </w:rPr>
        <w:t xml:space="preserve"> La </w:t>
      </w:r>
      <w:r w:rsidR="00F6617C">
        <w:rPr>
          <w:rFonts w:ascii="Muli" w:hAnsi="Muli"/>
        </w:rPr>
        <w:t>principal clave, sin duda, ha sido</w:t>
      </w:r>
      <w:r w:rsidR="00F6617C" w:rsidRPr="00F6617C">
        <w:rPr>
          <w:rFonts w:ascii="Muli" w:hAnsi="Muli"/>
        </w:rPr>
        <w:t xml:space="preserve"> el coste de la financiación. Con los tipos </w:t>
      </w:r>
      <w:r w:rsidR="00F6617C">
        <w:rPr>
          <w:rFonts w:ascii="Muli" w:hAnsi="Muli"/>
        </w:rPr>
        <w:t xml:space="preserve">de interés de las hipotecas </w:t>
      </w:r>
      <w:r w:rsidR="00F6617C" w:rsidRPr="00F6617C">
        <w:rPr>
          <w:rFonts w:ascii="Muli" w:hAnsi="Muli"/>
        </w:rPr>
        <w:t xml:space="preserve">estabilizados </w:t>
      </w:r>
      <w:r w:rsidR="00F6617C">
        <w:rPr>
          <w:rFonts w:ascii="Muli" w:hAnsi="Muli"/>
        </w:rPr>
        <w:t>por debajo del 3%</w:t>
      </w:r>
      <w:r w:rsidR="00827DCD">
        <w:rPr>
          <w:rFonts w:ascii="Muli" w:hAnsi="Muli"/>
        </w:rPr>
        <w:t xml:space="preserve"> (en diciembre, según el INE, se situaron de media en el </w:t>
      </w:r>
      <w:r>
        <w:rPr>
          <w:rFonts w:ascii="Muli" w:hAnsi="Muli"/>
        </w:rPr>
        <w:t>2,87%)</w:t>
      </w:r>
      <w:r w:rsidR="00F6617C">
        <w:rPr>
          <w:rFonts w:ascii="Muli" w:hAnsi="Muli"/>
        </w:rPr>
        <w:t xml:space="preserve">, </w:t>
      </w:r>
      <w:r w:rsidR="00F6617C" w:rsidRPr="00F6617C">
        <w:rPr>
          <w:rFonts w:ascii="Muli" w:hAnsi="Muli"/>
        </w:rPr>
        <w:t xml:space="preserve">muchas operaciones que meses antes no encajaban volvieron a ser viables. </w:t>
      </w:r>
      <w:r w:rsidR="00F6617C">
        <w:rPr>
          <w:rFonts w:ascii="Muli" w:hAnsi="Muli"/>
        </w:rPr>
        <w:lastRenderedPageBreak/>
        <w:t>Esto ha sucedido porque, e</w:t>
      </w:r>
      <w:r w:rsidR="00F6617C" w:rsidRPr="00F6617C">
        <w:rPr>
          <w:rFonts w:ascii="Muli" w:hAnsi="Muli"/>
        </w:rPr>
        <w:t>n préstamos a 25 o 30 años</w:t>
      </w:r>
      <w:r>
        <w:rPr>
          <w:rFonts w:ascii="Muli" w:hAnsi="Muli"/>
        </w:rPr>
        <w:t xml:space="preserve"> (el plazo de amortización más común actualmente)</w:t>
      </w:r>
      <w:r w:rsidR="00F6617C" w:rsidRPr="00F6617C">
        <w:rPr>
          <w:rFonts w:ascii="Muli" w:hAnsi="Muli"/>
        </w:rPr>
        <w:t xml:space="preserve">, pequeñas variaciones en </w:t>
      </w:r>
      <w:r w:rsidR="00F6617C">
        <w:rPr>
          <w:rFonts w:ascii="Muli" w:hAnsi="Muli"/>
        </w:rPr>
        <w:t xml:space="preserve">los </w:t>
      </w:r>
      <w:r w:rsidR="001403C4">
        <w:rPr>
          <w:rFonts w:ascii="Muli" w:hAnsi="Muli"/>
        </w:rPr>
        <w:t>tipos</w:t>
      </w:r>
      <w:r w:rsidR="00F6617C" w:rsidRPr="00F6617C">
        <w:rPr>
          <w:rFonts w:ascii="Muli" w:hAnsi="Muli"/>
        </w:rPr>
        <w:t xml:space="preserve"> tienen un impacto directo en la cuota mensual</w:t>
      </w:r>
      <w:r w:rsidR="00F6617C">
        <w:rPr>
          <w:rFonts w:ascii="Muli" w:hAnsi="Muli"/>
        </w:rPr>
        <w:t xml:space="preserve"> a pagar</w:t>
      </w:r>
      <w:r w:rsidR="00F6617C" w:rsidRPr="00F6617C">
        <w:rPr>
          <w:rFonts w:ascii="Muli" w:hAnsi="Muli"/>
        </w:rPr>
        <w:t xml:space="preserve">, y ese ajuste </w:t>
      </w:r>
      <w:r w:rsidR="00F6617C">
        <w:rPr>
          <w:rFonts w:ascii="Muli" w:hAnsi="Muli"/>
        </w:rPr>
        <w:t>permitió</w:t>
      </w:r>
      <w:r w:rsidR="00F6617C" w:rsidRPr="00F6617C">
        <w:rPr>
          <w:rFonts w:ascii="Muli" w:hAnsi="Muli"/>
        </w:rPr>
        <w:t xml:space="preserve"> a muchas familias retomar la decisión de compra con mayor tranquilidad.</w:t>
      </w:r>
    </w:p>
    <w:p w14:paraId="4A75939C" w14:textId="77777777" w:rsidR="008E01D6" w:rsidRDefault="00F6617C" w:rsidP="00F6617C">
      <w:pPr>
        <w:pStyle w:val="paragraph"/>
        <w:spacing w:before="240"/>
        <w:textAlignment w:val="baseline"/>
        <w:rPr>
          <w:rFonts w:ascii="Muli" w:hAnsi="Muli"/>
        </w:rPr>
      </w:pPr>
      <w:r w:rsidRPr="00F6617C">
        <w:rPr>
          <w:rFonts w:ascii="Muli" w:hAnsi="Muli"/>
        </w:rPr>
        <w:t xml:space="preserve">El comportamiento del comprador fue, </w:t>
      </w:r>
      <w:r w:rsidR="001403C4">
        <w:rPr>
          <w:rFonts w:ascii="Muli" w:hAnsi="Muli"/>
        </w:rPr>
        <w:t>sin embargo, bastante</w:t>
      </w:r>
      <w:r w:rsidRPr="00F6617C">
        <w:rPr>
          <w:rFonts w:ascii="Muli" w:hAnsi="Muli"/>
        </w:rPr>
        <w:t xml:space="preserve"> prudente. </w:t>
      </w:r>
      <w:r w:rsidR="001403C4">
        <w:rPr>
          <w:rFonts w:ascii="Muli" w:hAnsi="Muli"/>
        </w:rPr>
        <w:t xml:space="preserve">Pese a que en 2024 la hipoteca mixta fue la gran elegida, en 2025 </w:t>
      </w:r>
      <w:r w:rsidR="00CD6953">
        <w:rPr>
          <w:rFonts w:ascii="Muli" w:hAnsi="Muli"/>
        </w:rPr>
        <w:t>casi el 60% de los usuarios de iAhorro se decantó por la hipoteca fija. Así lo demuestran también los datos del INE, que</w:t>
      </w:r>
      <w:r w:rsidR="008E01D6">
        <w:rPr>
          <w:rFonts w:ascii="Muli" w:hAnsi="Muli"/>
        </w:rPr>
        <w:t xml:space="preserve">, pese a que no registra datos de hipotecas mixtas, da a la hipoteca fija como la vencedora con </w:t>
      </w:r>
      <w:r w:rsidR="001403C4">
        <w:rPr>
          <w:rFonts w:ascii="Muli" w:hAnsi="Muli"/>
        </w:rPr>
        <w:t>e</w:t>
      </w:r>
      <w:r w:rsidRPr="00F6617C">
        <w:rPr>
          <w:rFonts w:ascii="Muli" w:hAnsi="Muli"/>
        </w:rPr>
        <w:t xml:space="preserve">ntre seis y siete de cada diez </w:t>
      </w:r>
      <w:r w:rsidR="008E01D6">
        <w:rPr>
          <w:rFonts w:ascii="Muli" w:hAnsi="Muli"/>
        </w:rPr>
        <w:t>hipotecas firmadas</w:t>
      </w:r>
      <w:r w:rsidRPr="00F6617C">
        <w:rPr>
          <w:rFonts w:ascii="Muli" w:hAnsi="Muli"/>
        </w:rPr>
        <w:t xml:space="preserve">, una elección que demuestra que la prioridad fue asegurar estabilidad en la cuota y evitar sobresaltos futuros. </w:t>
      </w:r>
    </w:p>
    <w:p w14:paraId="07FE5ABE" w14:textId="5B692068" w:rsidR="008E01D6" w:rsidRDefault="008E01D6" w:rsidP="00F6617C">
      <w:pPr>
        <w:pStyle w:val="paragraph"/>
        <w:spacing w:before="240"/>
        <w:textAlignment w:val="baseline"/>
        <w:rPr>
          <w:rFonts w:ascii="Muli" w:hAnsi="Muli"/>
        </w:rPr>
      </w:pPr>
      <w:r>
        <w:rPr>
          <w:rFonts w:ascii="Muli" w:hAnsi="Muli"/>
        </w:rPr>
        <w:t>Esto ocurrió porque l</w:t>
      </w:r>
      <w:r w:rsidR="00F6617C" w:rsidRPr="00F6617C">
        <w:rPr>
          <w:rFonts w:ascii="Muli" w:hAnsi="Muli"/>
        </w:rPr>
        <w:t>as entidades financieras también contribuyeron a esta reactivación con una competencia más intensa para captar perfiles solventes, lo que favoreció mejores condiciones y agilizó el cierre de operaciones.</w:t>
      </w:r>
      <w:r>
        <w:rPr>
          <w:rFonts w:ascii="Muli" w:hAnsi="Muli"/>
        </w:rPr>
        <w:t xml:space="preserve"> </w:t>
      </w:r>
      <w:r w:rsidR="00F6617C">
        <w:rPr>
          <w:rFonts w:ascii="Muli" w:hAnsi="Muli"/>
        </w:rPr>
        <w:t>Eso sí, e</w:t>
      </w:r>
      <w:r w:rsidR="00F6617C" w:rsidRPr="00F6617C">
        <w:rPr>
          <w:rFonts w:ascii="Muli" w:hAnsi="Muli"/>
        </w:rPr>
        <w:t>l crecimiento no se limitó al número de firmas. El importe medio de las hipotecas superó en varios meses los 160.000 euros e incluso rebasó los 170.000</w:t>
      </w:r>
      <w:r>
        <w:rPr>
          <w:rFonts w:ascii="Muli" w:hAnsi="Muli"/>
        </w:rPr>
        <w:t xml:space="preserve"> euros. Concretamente, en diciembre de 2025, el importe medio de las hipotecas firmadas en España según los datos del INE se situó en los </w:t>
      </w:r>
      <w:r w:rsidR="00186E3C">
        <w:rPr>
          <w:rFonts w:ascii="Muli" w:hAnsi="Muli"/>
        </w:rPr>
        <w:t xml:space="preserve">172.535 euros, el valor más alto de todo el ejercicio y el más elevado desde </w:t>
      </w:r>
      <w:r w:rsidR="00652FF2">
        <w:rPr>
          <w:rFonts w:ascii="Muli" w:hAnsi="Muli"/>
        </w:rPr>
        <w:t xml:space="preserve">febrero de 2020, cuando se superaron los 175.000 euros. </w:t>
      </w:r>
    </w:p>
    <w:p w14:paraId="3BFCFD9A" w14:textId="4D4493C4" w:rsidR="00F6617C" w:rsidRDefault="00652FF2" w:rsidP="00F6617C">
      <w:pPr>
        <w:pStyle w:val="paragraph"/>
        <w:spacing w:before="240"/>
        <w:textAlignment w:val="baseline"/>
        <w:rPr>
          <w:rFonts w:ascii="Muli" w:hAnsi="Muli"/>
        </w:rPr>
      </w:pPr>
      <w:r>
        <w:rPr>
          <w:rFonts w:ascii="Muli" w:hAnsi="Muli"/>
        </w:rPr>
        <w:t xml:space="preserve">Esto es </w:t>
      </w:r>
      <w:r w:rsidR="00F6617C" w:rsidRPr="00F6617C">
        <w:rPr>
          <w:rFonts w:ascii="Muli" w:hAnsi="Muli"/>
        </w:rPr>
        <w:t>una consecuencia directa de</w:t>
      </w:r>
      <w:r w:rsidR="00F6617C">
        <w:rPr>
          <w:rFonts w:ascii="Muli" w:hAnsi="Muli"/>
        </w:rPr>
        <w:t xml:space="preserve"> incremento de los</w:t>
      </w:r>
      <w:r w:rsidR="00F6617C" w:rsidRPr="00F6617C">
        <w:rPr>
          <w:rFonts w:ascii="Muli" w:hAnsi="Muli"/>
        </w:rPr>
        <w:t xml:space="preserve"> precios de la</w:t>
      </w:r>
      <w:r w:rsidR="00F6617C">
        <w:rPr>
          <w:rFonts w:ascii="Muli" w:hAnsi="Muli"/>
        </w:rPr>
        <w:t>s</w:t>
      </w:r>
      <w:r w:rsidR="00F6617C" w:rsidRPr="00F6617C">
        <w:rPr>
          <w:rFonts w:ascii="Muli" w:hAnsi="Muli"/>
        </w:rPr>
        <w:t xml:space="preserve"> vivienda</w:t>
      </w:r>
      <w:r w:rsidR="00F6617C">
        <w:rPr>
          <w:rFonts w:ascii="Muli" w:hAnsi="Muli"/>
        </w:rPr>
        <w:t>s</w:t>
      </w:r>
      <w:r w:rsidR="00F6617C" w:rsidRPr="00F6617C">
        <w:rPr>
          <w:rFonts w:ascii="Muli" w:hAnsi="Muli"/>
        </w:rPr>
        <w:t>.</w:t>
      </w:r>
      <w:r>
        <w:rPr>
          <w:rFonts w:ascii="Muli" w:hAnsi="Muli"/>
        </w:rPr>
        <w:t xml:space="preserve"> Si la hipoteca se concede sobre el 80% del precio de compraventa (lo más habitual), el precio medio de compra de las viviendas hipotecadas en España podríamos decir que se sitúa en los </w:t>
      </w:r>
      <w:r w:rsidR="00ED09E9">
        <w:rPr>
          <w:rFonts w:ascii="Muli" w:hAnsi="Muli"/>
        </w:rPr>
        <w:t xml:space="preserve">207.042 euros. </w:t>
      </w:r>
      <w:r w:rsidR="00F6617C">
        <w:rPr>
          <w:rFonts w:ascii="Muli" w:hAnsi="Muli"/>
        </w:rPr>
        <w:t>Y es que, l</w:t>
      </w:r>
      <w:r w:rsidR="00F6617C" w:rsidRPr="00F6617C">
        <w:rPr>
          <w:rFonts w:ascii="Muli" w:hAnsi="Muli"/>
        </w:rPr>
        <w:t>a oferta sigue siendo</w:t>
      </w:r>
      <w:r w:rsidR="009229D5">
        <w:rPr>
          <w:rFonts w:ascii="Muli" w:hAnsi="Muli"/>
        </w:rPr>
        <w:t xml:space="preserve"> muy</w:t>
      </w:r>
      <w:r w:rsidR="00F6617C" w:rsidRPr="00F6617C">
        <w:rPr>
          <w:rFonts w:ascii="Muli" w:hAnsi="Muli"/>
        </w:rPr>
        <w:t xml:space="preserve"> limitada en zonas con alt</w:t>
      </w:r>
      <w:r w:rsidR="00F6617C">
        <w:rPr>
          <w:rFonts w:ascii="Muli" w:hAnsi="Muli"/>
        </w:rPr>
        <w:t xml:space="preserve">ísima </w:t>
      </w:r>
      <w:r w:rsidR="00ED09E9">
        <w:rPr>
          <w:rFonts w:ascii="Muli" w:hAnsi="Muli"/>
        </w:rPr>
        <w:t xml:space="preserve">demanda </w:t>
      </w:r>
      <w:r w:rsidR="00F6617C" w:rsidRPr="00F6617C">
        <w:rPr>
          <w:rFonts w:ascii="Muli" w:hAnsi="Muli"/>
        </w:rPr>
        <w:t xml:space="preserve">y eso mantiene los valores elevados. El resultado </w:t>
      </w:r>
      <w:r w:rsidR="00F6617C">
        <w:rPr>
          <w:rFonts w:ascii="Muli" w:hAnsi="Muli"/>
        </w:rPr>
        <w:t xml:space="preserve">es que 2025 ha sido </w:t>
      </w:r>
      <w:r w:rsidR="00F6617C" w:rsidRPr="00F6617C">
        <w:rPr>
          <w:rFonts w:ascii="Muli" w:hAnsi="Muli"/>
        </w:rPr>
        <w:t>un año con más actividad</w:t>
      </w:r>
      <w:r w:rsidR="009229D5">
        <w:rPr>
          <w:rFonts w:ascii="Muli" w:hAnsi="Muli"/>
        </w:rPr>
        <w:t xml:space="preserve"> pese a concederse</w:t>
      </w:r>
      <w:r w:rsidR="00F6617C" w:rsidRPr="00F6617C">
        <w:rPr>
          <w:rFonts w:ascii="Muli" w:hAnsi="Muli"/>
        </w:rPr>
        <w:t xml:space="preserve"> préstamos de mayor </w:t>
      </w:r>
      <w:r w:rsidR="00F6617C">
        <w:rPr>
          <w:rFonts w:ascii="Muli" w:hAnsi="Muli"/>
        </w:rPr>
        <w:t>cuantía.</w:t>
      </w:r>
    </w:p>
    <w:p w14:paraId="2C79FD9E" w14:textId="46E20D2A" w:rsidR="00F6617C" w:rsidRDefault="009229D5" w:rsidP="00F6617C">
      <w:pPr>
        <w:pStyle w:val="paragraph"/>
        <w:spacing w:before="240"/>
        <w:textAlignment w:val="baseline"/>
        <w:rPr>
          <w:rFonts w:ascii="Muli" w:hAnsi="Muli"/>
        </w:rPr>
      </w:pPr>
      <w:r>
        <w:rPr>
          <w:rFonts w:ascii="Muli" w:hAnsi="Muli"/>
        </w:rPr>
        <w:t xml:space="preserve">Con todo esto, hay que llamar a la calma. </w:t>
      </w:r>
      <w:r w:rsidR="00F6617C" w:rsidRPr="00F6617C">
        <w:rPr>
          <w:rFonts w:ascii="Muli" w:hAnsi="Muli"/>
        </w:rPr>
        <w:t xml:space="preserve">Aunque las cifras </w:t>
      </w:r>
      <w:r w:rsidR="00F6617C">
        <w:rPr>
          <w:rFonts w:ascii="Muli" w:hAnsi="Muli"/>
        </w:rPr>
        <w:t xml:space="preserve">de firmas de hipotecas </w:t>
      </w:r>
      <w:r w:rsidR="00F6617C" w:rsidRPr="00F6617C">
        <w:rPr>
          <w:rFonts w:ascii="Muli" w:hAnsi="Muli"/>
        </w:rPr>
        <w:t>son altas, el mercado actual no presenta las características de otros ciclos expansivos del pasado</w:t>
      </w:r>
      <w:r w:rsidR="00F6617C">
        <w:rPr>
          <w:rFonts w:ascii="Muli" w:hAnsi="Muli"/>
        </w:rPr>
        <w:t>, como los que pudimos ver durante los años 2008 o 2009</w:t>
      </w:r>
      <w:r w:rsidR="009B1DAA">
        <w:rPr>
          <w:rFonts w:ascii="Muli" w:hAnsi="Muli"/>
        </w:rPr>
        <w:t>, previos a la crisis financiera</w:t>
      </w:r>
      <w:r w:rsidR="00F6617C">
        <w:rPr>
          <w:rFonts w:ascii="Muli" w:hAnsi="Muli"/>
        </w:rPr>
        <w:t>. Ahora l</w:t>
      </w:r>
      <w:r w:rsidR="00F6617C" w:rsidRPr="00F6617C">
        <w:rPr>
          <w:rFonts w:ascii="Muli" w:hAnsi="Muli"/>
        </w:rPr>
        <w:t xml:space="preserve">os criterios de concesión son más exigentes, el análisis de solvencia es más riguroso y el perfil del comprador es más sólido. </w:t>
      </w:r>
      <w:r w:rsidR="00F6617C">
        <w:rPr>
          <w:rFonts w:ascii="Muli" w:hAnsi="Muli"/>
        </w:rPr>
        <w:t>Por tanto, e</w:t>
      </w:r>
      <w:r w:rsidR="00F6617C" w:rsidRPr="00F6617C">
        <w:rPr>
          <w:rFonts w:ascii="Muli" w:hAnsi="Muli"/>
        </w:rPr>
        <w:t>l crecimiento se produjo dentro de parámetros más equilibrados y con mayor control del riesgo.</w:t>
      </w:r>
    </w:p>
    <w:p w14:paraId="2309C034" w14:textId="2A4EA4B6" w:rsidR="00D41B63" w:rsidRDefault="00D41B63" w:rsidP="00D41B63">
      <w:pPr>
        <w:pStyle w:val="paragraph"/>
        <w:spacing w:before="240"/>
        <w:textAlignment w:val="baseline"/>
        <w:rPr>
          <w:rFonts w:ascii="Muli" w:hAnsi="Muli"/>
        </w:rPr>
      </w:pPr>
      <w:r w:rsidRPr="00D41B63">
        <w:rPr>
          <w:rFonts w:ascii="Muli" w:hAnsi="Muli"/>
        </w:rPr>
        <w:t xml:space="preserve">Además, hay diferencias estructurales importantes respecto a aquella etapa. Hoy no se están concediendo hipotecas por encima del 100% del valor de tasación de forma generalizada, el esfuerzo financiero de los hogares está más controlado y el sistema bancario opera bajo una supervisión mucho más estricta. Tampoco existe un exceso de oferta; de hecho, el problema es el contrario. No estamos ante un escenario de </w:t>
      </w:r>
      <w:proofErr w:type="spellStart"/>
      <w:r w:rsidRPr="00D41B63">
        <w:rPr>
          <w:rFonts w:ascii="Muli" w:hAnsi="Muli"/>
        </w:rPr>
        <w:t>sobreconstrucción</w:t>
      </w:r>
      <w:proofErr w:type="spellEnd"/>
      <w:r w:rsidRPr="00D41B63">
        <w:rPr>
          <w:rFonts w:ascii="Muli" w:hAnsi="Muli"/>
        </w:rPr>
        <w:t>, sino ante un</w:t>
      </w:r>
      <w:r w:rsidR="009B1DAA">
        <w:rPr>
          <w:rFonts w:ascii="Muli" w:hAnsi="Muli"/>
        </w:rPr>
        <w:t>o de</w:t>
      </w:r>
      <w:r w:rsidRPr="00D41B63">
        <w:rPr>
          <w:rFonts w:ascii="Muli" w:hAnsi="Muli"/>
        </w:rPr>
        <w:t xml:space="preserve"> escasez de vivienda en determinadas zonas que tensiona los precios. Eso limita la posibilidad de una burbuja especulativa como la de entonces.</w:t>
      </w:r>
    </w:p>
    <w:p w14:paraId="068C3531" w14:textId="5D85D900" w:rsidR="00D41B63" w:rsidRDefault="00D41B63" w:rsidP="00D41B63">
      <w:pPr>
        <w:pStyle w:val="paragraph"/>
        <w:spacing w:before="240"/>
        <w:textAlignment w:val="baseline"/>
        <w:rPr>
          <w:rFonts w:ascii="Muli" w:hAnsi="Muli"/>
        </w:rPr>
      </w:pPr>
      <w:r w:rsidRPr="00D41B63">
        <w:rPr>
          <w:rFonts w:ascii="Muli" w:hAnsi="Muli"/>
        </w:rPr>
        <w:t xml:space="preserve">De cara a </w:t>
      </w:r>
      <w:r>
        <w:rPr>
          <w:rFonts w:ascii="Muli" w:hAnsi="Muli"/>
        </w:rPr>
        <w:t xml:space="preserve">lo que puede pasar este año </w:t>
      </w:r>
      <w:r w:rsidRPr="00D41B63">
        <w:rPr>
          <w:rFonts w:ascii="Muli" w:hAnsi="Muli"/>
        </w:rPr>
        <w:t xml:space="preserve">2026, la previsión es de estabilización más que de crecimiento explosivo. Si los tipos de interés se mantienen en niveles similares o bajan ligeramente, el mercado podría sostener volúmenes </w:t>
      </w:r>
      <w:r>
        <w:rPr>
          <w:rFonts w:ascii="Muli" w:hAnsi="Muli"/>
        </w:rPr>
        <w:t>elevados de firmas de</w:t>
      </w:r>
      <w:r w:rsidRPr="00D41B63">
        <w:rPr>
          <w:rFonts w:ascii="Muli" w:hAnsi="Muli"/>
        </w:rPr>
        <w:t xml:space="preserve"> hipotecas, aunque</w:t>
      </w:r>
      <w:r>
        <w:rPr>
          <w:rFonts w:ascii="Muli" w:hAnsi="Muli"/>
        </w:rPr>
        <w:t xml:space="preserve"> seguramente</w:t>
      </w:r>
      <w:r w:rsidRPr="00D41B63">
        <w:rPr>
          <w:rFonts w:ascii="Muli" w:hAnsi="Muli"/>
        </w:rPr>
        <w:t xml:space="preserve"> con un ritmo más moderado que el de 2025. </w:t>
      </w:r>
      <w:r w:rsidR="00BC45F7">
        <w:rPr>
          <w:rFonts w:ascii="Muli" w:hAnsi="Muli"/>
        </w:rPr>
        <w:t>Es poco probable que en 2026 superemos el medio millón de firmas, a no ser que los bancos tiren la casa por la ventana y</w:t>
      </w:r>
      <w:r w:rsidR="00C5629A">
        <w:rPr>
          <w:rFonts w:ascii="Muli" w:hAnsi="Muli"/>
        </w:rPr>
        <w:t xml:space="preserve"> desde el Gobierno</w:t>
      </w:r>
      <w:r w:rsidR="00BC45F7">
        <w:rPr>
          <w:rFonts w:ascii="Muli" w:hAnsi="Muli"/>
        </w:rPr>
        <w:t xml:space="preserve"> se </w:t>
      </w:r>
      <w:r w:rsidR="00C5629A">
        <w:rPr>
          <w:rFonts w:ascii="Muli" w:hAnsi="Muli"/>
        </w:rPr>
        <w:t>tomen medidas que faciliten el acceso a una vivienda, sobre todo a los más jóvenes</w:t>
      </w:r>
      <w:r w:rsidR="00825FE1">
        <w:rPr>
          <w:rFonts w:ascii="Muli" w:hAnsi="Muli"/>
        </w:rPr>
        <w:t>, porque seguramente los precios nos bajen y eso será el mayor obstáculo</w:t>
      </w:r>
      <w:r w:rsidR="00C5629A" w:rsidRPr="0040546D">
        <w:rPr>
          <w:rFonts w:ascii="Muli" w:hAnsi="Muli"/>
        </w:rPr>
        <w:t xml:space="preserve">. </w:t>
      </w:r>
      <w:r w:rsidR="00825FE1">
        <w:rPr>
          <w:rFonts w:ascii="Muli" w:hAnsi="Muli"/>
        </w:rPr>
        <w:t>Por</w:t>
      </w:r>
      <w:r w:rsidR="00C5629A">
        <w:rPr>
          <w:rFonts w:ascii="Muli" w:hAnsi="Muli"/>
        </w:rPr>
        <w:t xml:space="preserve"> eso, es</w:t>
      </w:r>
      <w:r w:rsidRPr="00D41B63">
        <w:rPr>
          <w:rFonts w:ascii="Muli" w:hAnsi="Muli"/>
        </w:rPr>
        <w:t xml:space="preserve"> probable que veamos una ligera normalización tras el efecto </w:t>
      </w:r>
      <w:r w:rsidR="00F16884">
        <w:rPr>
          <w:rFonts w:ascii="Muli" w:hAnsi="Muli"/>
        </w:rPr>
        <w:t>‘</w:t>
      </w:r>
      <w:r w:rsidRPr="0040546D">
        <w:rPr>
          <w:rFonts w:ascii="Muli" w:hAnsi="Muli"/>
        </w:rPr>
        <w:t>rebote</w:t>
      </w:r>
      <w:r w:rsidR="00F16884">
        <w:rPr>
          <w:rFonts w:ascii="Muli" w:hAnsi="Muli"/>
        </w:rPr>
        <w:t>’</w:t>
      </w:r>
      <w:r w:rsidRPr="00D41B63">
        <w:rPr>
          <w:rFonts w:ascii="Muli" w:hAnsi="Muli"/>
        </w:rPr>
        <w:t xml:space="preserve"> </w:t>
      </w:r>
      <w:r>
        <w:rPr>
          <w:rFonts w:ascii="Muli" w:hAnsi="Muli"/>
        </w:rPr>
        <w:t>del año pasado”.</w:t>
      </w:r>
    </w:p>
    <w:p w14:paraId="0586C80F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</w:p>
    <w:p w14:paraId="46042B2C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  <w:r>
        <w:rPr>
          <w:rStyle w:val="contentpasted0"/>
          <w:rFonts w:ascii="Muli" w:hAnsi="Muli"/>
          <w:color w:val="000000"/>
          <w:u w:val="single"/>
        </w:rPr>
        <w:t>Laura Martínez, portavoz de iAhorro.</w:t>
      </w:r>
    </w:p>
    <w:p w14:paraId="28F923B5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</w:p>
    <w:p w14:paraId="78DB9FBB" w14:textId="77777777" w:rsidR="001B687B" w:rsidRDefault="001B687B" w:rsidP="001B687B">
      <w:pPr>
        <w:rPr>
          <w:rStyle w:val="contentpasted0"/>
          <w:rFonts w:ascii="Muli" w:hAnsi="Muli"/>
          <w:color w:val="000000"/>
          <w:u w:val="single"/>
        </w:rPr>
      </w:pPr>
    </w:p>
    <w:p w14:paraId="1C8BC5FE" w14:textId="77777777" w:rsidR="001B687B" w:rsidRDefault="001B687B" w:rsidP="001B687B">
      <w:pPr>
        <w:spacing w:after="160"/>
        <w:rPr>
          <w:rStyle w:val="contentpasted0"/>
          <w:rFonts w:ascii="Muli" w:hAnsi="Muli"/>
          <w:color w:val="000000"/>
          <w:sz w:val="24"/>
          <w:szCs w:val="24"/>
          <w:lang w:val="es-ES_tradnl"/>
        </w:rPr>
      </w:pPr>
      <w:r>
        <w:rPr>
          <w:rStyle w:val="contentpasted0"/>
          <w:rFonts w:ascii="Muli" w:hAnsi="Muli"/>
          <w:b/>
          <w:bCs/>
          <w:color w:val="243962"/>
          <w:sz w:val="24"/>
          <w:szCs w:val="24"/>
          <w:lang w:val="es-ES_tradnl"/>
        </w:rPr>
        <w:t xml:space="preserve">Si necesita más información o declaraciones en formato audiovisual: </w:t>
      </w:r>
      <w:r>
        <w:rPr>
          <w:rStyle w:val="contentpasted0"/>
          <w:rFonts w:ascii="Muli" w:hAnsi="Muli"/>
          <w:color w:val="000000"/>
          <w:sz w:val="24"/>
          <w:szCs w:val="24"/>
          <w:lang w:val="es-ES_tradnl"/>
        </w:rPr>
        <w:t>Póngase en contacto con el departamento de Comunicación. </w:t>
      </w:r>
    </w:p>
    <w:tbl>
      <w:tblPr>
        <w:tblW w:w="70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2543"/>
        <w:gridCol w:w="2533"/>
      </w:tblGrid>
      <w:tr w:rsidR="001B687B" w:rsidRPr="00AF342D" w14:paraId="49A6C4DA" w14:textId="77777777" w:rsidTr="003C3046">
        <w:trPr>
          <w:trHeight w:val="132"/>
        </w:trPr>
        <w:tc>
          <w:tcPr>
            <w:tcW w:w="198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375AE5" w14:textId="77777777" w:rsidR="001B687B" w:rsidRDefault="001B687B" w:rsidP="003C3046">
            <w:pPr>
              <w:spacing w:line="252" w:lineRule="auto"/>
              <w:rPr>
                <w:rFonts w:ascii="Aptos" w:hAnsi="Aptos" w:cs="Aptos"/>
                <w:b/>
                <w:bCs/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6C8EADB4" wp14:editId="38AACC86">
                  <wp:extent cx="1143000" cy="565999"/>
                  <wp:effectExtent l="0" t="0" r="0" b="0"/>
                  <wp:docPr id="1332602733" name="Imagen 1" descr="Logotipo&#10;&#10;Descripción generada automáticament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BA0CFD0-A3FD-445D-8C93-3548EA545D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384" cy="568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6D0D2" w14:textId="77777777" w:rsidR="001B687B" w:rsidRDefault="001B687B" w:rsidP="003C3046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69A5C2A8" w14:textId="77777777" w:rsidR="001B687B" w:rsidRDefault="001B687B" w:rsidP="003C3046">
            <w:pPr>
              <w:spacing w:line="252" w:lineRule="auto"/>
              <w:jc w:val="center"/>
              <w:rPr>
                <w:b/>
                <w:bCs/>
                <w:sz w:val="18"/>
                <w:szCs w:val="18"/>
              </w:rPr>
            </w:pPr>
          </w:p>
          <w:p w14:paraId="172993FB" w14:textId="77777777" w:rsidR="001B687B" w:rsidRDefault="001B687B" w:rsidP="003C3046">
            <w:pPr>
              <w:spacing w:line="252" w:lineRule="auto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Laura Martínez</w:t>
            </w:r>
            <w:r>
              <w:rPr>
                <w:sz w:val="18"/>
                <w:szCs w:val="18"/>
              </w:rPr>
              <w:t xml:space="preserve"> – 686 688 757</w:t>
            </w:r>
            <w:r>
              <w:rPr>
                <w:sz w:val="18"/>
                <w:szCs w:val="18"/>
              </w:rPr>
              <w:br/>
            </w:r>
            <w:hyperlink r:id="rId7" w:history="1">
              <w:r w:rsidRPr="009D144E">
                <w:rPr>
                  <w:rStyle w:val="Hyperlink"/>
                  <w:sz w:val="18"/>
                  <w:szCs w:val="18"/>
                </w:rPr>
                <w:t>laura.martinez@iahorro.com</w:t>
              </w:r>
            </w:hyperlink>
          </w:p>
          <w:p w14:paraId="311EBBB5" w14:textId="77777777" w:rsidR="001B687B" w:rsidRDefault="001B687B" w:rsidP="003C3046">
            <w:pPr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  <w:p w14:paraId="0313D916" w14:textId="77777777" w:rsidR="001B687B" w:rsidRDefault="001B687B" w:rsidP="003C3046">
            <w:pPr>
              <w:spacing w:line="252" w:lineRule="auto"/>
              <w:jc w:val="center"/>
              <w:rPr>
                <w:b/>
                <w:bCs/>
                <w:sz w:val="18"/>
                <w:szCs w:val="18"/>
                <w:lang w:val="pt-PT"/>
              </w:rPr>
            </w:pPr>
          </w:p>
        </w:tc>
        <w:tc>
          <w:tcPr>
            <w:tcW w:w="255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BDBAA" w14:textId="77777777" w:rsidR="001B687B" w:rsidRDefault="001B687B" w:rsidP="003C3046">
            <w:pPr>
              <w:spacing w:line="252" w:lineRule="auto"/>
              <w:rPr>
                <w:b/>
                <w:bCs/>
                <w:sz w:val="18"/>
                <w:szCs w:val="18"/>
                <w:lang w:val="pt-PT"/>
              </w:rPr>
            </w:pPr>
            <w:r>
              <w:rPr>
                <w:b/>
                <w:bCs/>
                <w:sz w:val="18"/>
                <w:szCs w:val="18"/>
                <w:lang w:val="pt-PT"/>
              </w:rPr>
              <w:t>Noelia Pérez</w:t>
            </w:r>
            <w:r>
              <w:rPr>
                <w:sz w:val="18"/>
                <w:szCs w:val="18"/>
                <w:lang w:val="pt-PT"/>
              </w:rPr>
              <w:t xml:space="preserve"> – 653 247 167</w:t>
            </w:r>
            <w:r>
              <w:rPr>
                <w:sz w:val="18"/>
                <w:szCs w:val="18"/>
                <w:lang w:val="pt-PT"/>
              </w:rPr>
              <w:br/>
            </w:r>
            <w:hyperlink r:id="rId8" w:history="1">
              <w:r>
                <w:rPr>
                  <w:rStyle w:val="Hyperlink"/>
                  <w:sz w:val="18"/>
                  <w:szCs w:val="18"/>
                  <w:lang w:val="pt-PT"/>
                </w:rPr>
                <w:t>noelia.perez@iahorro.com</w:t>
              </w:r>
            </w:hyperlink>
          </w:p>
        </w:tc>
      </w:tr>
      <w:bookmarkEnd w:id="0"/>
    </w:tbl>
    <w:p w14:paraId="4419903C" w14:textId="77777777" w:rsidR="00381D98" w:rsidRDefault="00381D98"/>
    <w:sectPr w:rsidR="00381D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uli">
    <w:altName w:val="Calibri"/>
    <w:panose1 w:val="00000000000000000000"/>
    <w:charset w:val="00"/>
    <w:family w:val="auto"/>
    <w:pitch w:val="variable"/>
    <w:sig w:usb0="A00000FF" w:usb1="5000204B" w:usb2="00000000" w:usb3="00000000" w:csb0="00000193" w:csb1="00000000"/>
  </w:font>
  <w:font w:name="Montserrat">
    <w:altName w:val="Calibri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C3F8B"/>
    <w:multiLevelType w:val="hybridMultilevel"/>
    <w:tmpl w:val="6B9E24BC"/>
    <w:lvl w:ilvl="0" w:tplc="78FCE13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92773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87B"/>
    <w:rsid w:val="0005699C"/>
    <w:rsid w:val="00057048"/>
    <w:rsid w:val="00092EB4"/>
    <w:rsid w:val="001403C4"/>
    <w:rsid w:val="0014369C"/>
    <w:rsid w:val="00186E3C"/>
    <w:rsid w:val="001B0F85"/>
    <w:rsid w:val="001B687B"/>
    <w:rsid w:val="00381D98"/>
    <w:rsid w:val="003C3046"/>
    <w:rsid w:val="0040546D"/>
    <w:rsid w:val="004F76A9"/>
    <w:rsid w:val="00652FF2"/>
    <w:rsid w:val="00684A51"/>
    <w:rsid w:val="007F2F9D"/>
    <w:rsid w:val="00823AFA"/>
    <w:rsid w:val="00825FE1"/>
    <w:rsid w:val="00827DCD"/>
    <w:rsid w:val="00844CA8"/>
    <w:rsid w:val="008B27CD"/>
    <w:rsid w:val="008E01D6"/>
    <w:rsid w:val="009229D5"/>
    <w:rsid w:val="00956EC3"/>
    <w:rsid w:val="00960569"/>
    <w:rsid w:val="009B1DAA"/>
    <w:rsid w:val="00B7436F"/>
    <w:rsid w:val="00BC45F7"/>
    <w:rsid w:val="00BD79B8"/>
    <w:rsid w:val="00C2376E"/>
    <w:rsid w:val="00C5629A"/>
    <w:rsid w:val="00CD6953"/>
    <w:rsid w:val="00D24CB3"/>
    <w:rsid w:val="00D41B63"/>
    <w:rsid w:val="00DD3B6E"/>
    <w:rsid w:val="00ED09E9"/>
    <w:rsid w:val="00F16884"/>
    <w:rsid w:val="00F26EDB"/>
    <w:rsid w:val="00F6617C"/>
    <w:rsid w:val="00F8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A2D1"/>
  <w15:chartTrackingRefBased/>
  <w15:docId w15:val="{05163FFB-F717-442F-BC41-71D3E0439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87B"/>
    <w:pPr>
      <w:spacing w:after="0" w:line="240" w:lineRule="auto"/>
    </w:pPr>
    <w:rPr>
      <w:rFonts w:ascii="Calibri" w:hAnsi="Calibri" w:cs="Calibri"/>
      <w14:ligatures w14:val="standardContextual"/>
    </w:rPr>
  </w:style>
  <w:style w:type="paragraph" w:styleId="Heading1">
    <w:name w:val="Heading 1"/>
    <w:basedOn w:val="Normal"/>
    <w:next w:val="Normal"/>
    <w:uiPriority w:val="9"/>
    <w:qFormat/>
    <w:rsid w:val="001B68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1B68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1B68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1B68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1B68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1B687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1B687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1B687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1B687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68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68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687B"/>
    <w:rPr>
      <w:b/>
      <w:bCs/>
      <w:smallCaps/>
      <w:color w:val="0F4761" w:themeColor="accent1" w:themeShade="BF"/>
      <w:spacing w:val="5"/>
    </w:rPr>
  </w:style>
  <w:style w:type="character" w:customStyle="1" w:styleId="contentpasted0">
    <w:name w:val="contentpasted0"/>
    <w:basedOn w:val="DefaultParagraphFont"/>
    <w:rsid w:val="001B687B"/>
  </w:style>
  <w:style w:type="paragraph" w:customStyle="1" w:styleId="paragraph">
    <w:name w:val="paragraph"/>
    <w:basedOn w:val="Normal"/>
    <w:rsid w:val="001B687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ES"/>
      <w14:ligatures w14:val="none"/>
    </w:rPr>
  </w:style>
  <w:style w:type="character" w:customStyle="1" w:styleId="normaltextrun">
    <w:name w:val="normaltextrun"/>
    <w:basedOn w:val="DefaultParagraphFont"/>
    <w:rsid w:val="001B687B"/>
  </w:style>
  <w:style w:type="character" w:styleId="Hyperlink">
    <w:name w:val="Hyperlink"/>
    <w:basedOn w:val="DefaultParagraphFont"/>
    <w:uiPriority w:val="99"/>
    <w:unhideWhenUsed/>
    <w:rsid w:val="001B687B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F6617C"/>
    <w:rPr>
      <w:rFonts w:ascii="Times New Roman" w:hAnsi="Times New Roman" w:cs="Times New Roman"/>
      <w:sz w:val="24"/>
      <w:szCs w:val="24"/>
    </w:rPr>
  </w:style>
  <w:style w:type="character" w:customStyle="1" w:styleId="Ttulo1Car">
    <w:name w:val="Título 1 Car"/>
    <w:basedOn w:val="DefaultParagraphFont"/>
    <w:uiPriority w:val="9"/>
    <w:rsid w:val="00BD79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DefaultParagraphFont"/>
    <w:uiPriority w:val="9"/>
    <w:semiHidden/>
    <w:rsid w:val="00BD79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DefaultParagraphFont"/>
    <w:uiPriority w:val="9"/>
    <w:semiHidden/>
    <w:rsid w:val="00BD79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DefaultParagraphFont"/>
    <w:uiPriority w:val="9"/>
    <w:semiHidden/>
    <w:rsid w:val="00BD79B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DefaultParagraphFont"/>
    <w:uiPriority w:val="9"/>
    <w:semiHidden/>
    <w:rsid w:val="00BD79B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DefaultParagraphFont"/>
    <w:uiPriority w:val="9"/>
    <w:semiHidden/>
    <w:rsid w:val="00BD79B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DefaultParagraphFont"/>
    <w:uiPriority w:val="9"/>
    <w:semiHidden/>
    <w:rsid w:val="00BD79B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DefaultParagraphFont"/>
    <w:uiPriority w:val="9"/>
    <w:semiHidden/>
    <w:rsid w:val="00BD79B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DefaultParagraphFont"/>
    <w:uiPriority w:val="9"/>
    <w:semiHidden/>
    <w:rsid w:val="00BD79B8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DefaultParagraphFont"/>
    <w:uiPriority w:val="10"/>
    <w:rsid w:val="00BD7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DefaultParagraphFont"/>
    <w:uiPriority w:val="11"/>
    <w:rsid w:val="00BD79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Car">
    <w:name w:val="Cita Car"/>
    <w:basedOn w:val="DefaultParagraphFont"/>
    <w:uiPriority w:val="29"/>
    <w:rsid w:val="00BD79B8"/>
    <w:rPr>
      <w:i/>
      <w:iCs/>
      <w:color w:val="404040" w:themeColor="text1" w:themeTint="BF"/>
    </w:rPr>
  </w:style>
  <w:style w:type="character" w:customStyle="1" w:styleId="CitadestacadaCar">
    <w:name w:val="Cita destacada Car"/>
    <w:basedOn w:val="DefaultParagraphFont"/>
    <w:uiPriority w:val="30"/>
    <w:rsid w:val="00BD79B8"/>
    <w:rPr>
      <w:i/>
      <w:iCs/>
      <w:color w:val="0F4761" w:themeColor="accent1" w:themeShade="BF"/>
    </w:rPr>
  </w:style>
  <w:style w:type="character" w:customStyle="1" w:styleId="PiedepginaCar">
    <w:name w:val="Pie de página Car"/>
    <w:basedOn w:val="DefaultParagraphFont"/>
    <w:uiPriority w:val="99"/>
    <w:rsid w:val="00BD79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elia.perez@iahorr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laura.martinez@iahorr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860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Perez</dc:creator>
  <cp:keywords/>
  <dc:description/>
  <cp:lastModifiedBy>Noelia Perez</cp:lastModifiedBy>
  <cp:revision>21</cp:revision>
  <dcterms:created xsi:type="dcterms:W3CDTF">2026-02-18T07:52:00Z</dcterms:created>
  <dcterms:modified xsi:type="dcterms:W3CDTF">2026-02-19T08:30:00Z</dcterms:modified>
</cp:coreProperties>
</file>