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FC366" w14:textId="77777777" w:rsidR="008B0D46" w:rsidRDefault="008B0D46" w:rsidP="008B0D46">
      <w:pPr>
        <w:spacing w:after="1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contentpasted0"/>
          <w:rFonts w:ascii="Muli" w:hAnsi="Muli"/>
          <w:b/>
          <w:bCs/>
          <w:color w:val="000000"/>
          <w:sz w:val="24"/>
          <w:szCs w:val="24"/>
        </w:rPr>
        <w:t>Análisis de los datos del INE, por Simone Colombelli </w:t>
      </w:r>
    </w:p>
    <w:p w14:paraId="18B7F4E0" w14:textId="1F3AC90B" w:rsidR="008B0D46" w:rsidRDefault="00F6696C" w:rsidP="008B0D46">
      <w:pPr>
        <w:jc w:val="center"/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</w:pPr>
      <w:r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>L</w:t>
      </w:r>
      <w:r w:rsidR="008B0D46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 xml:space="preserve">a </w:t>
      </w:r>
      <w:r w:rsidR="00A101C1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>firma de hipotecas</w:t>
      </w:r>
      <w:r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 xml:space="preserve"> en España</w:t>
      </w:r>
      <w:r w:rsidR="008B0D46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 xml:space="preserve"> </w:t>
      </w:r>
      <w:r w:rsidR="007E748F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>sigue al alza en abril</w:t>
      </w:r>
      <w:r w:rsidR="007E54FD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>: sube un</w:t>
      </w:r>
      <w:r w:rsidR="008B0D46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 xml:space="preserve"> </w:t>
      </w:r>
      <w:r w:rsidR="007E748F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>14</w:t>
      </w:r>
      <w:r w:rsidR="008B0D46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>%</w:t>
      </w:r>
      <w:r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 xml:space="preserve"> p</w:t>
      </w:r>
      <w:r w:rsidR="007E748F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>ese a</w:t>
      </w:r>
      <w:r w:rsidR="007E54FD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 xml:space="preserve">l </w:t>
      </w:r>
      <w:r w:rsidR="00FD0F49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>‘</w:t>
      </w:r>
      <w:r w:rsidR="007E54FD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 xml:space="preserve">efecto </w:t>
      </w:r>
      <w:r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>Semana Santa</w:t>
      </w:r>
      <w:r w:rsidR="00FD0F49"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  <w:t>’</w:t>
      </w:r>
    </w:p>
    <w:p w14:paraId="643A0087" w14:textId="77777777" w:rsidR="008B0D46" w:rsidRDefault="008B0D46" w:rsidP="008B0D46">
      <w:pPr>
        <w:jc w:val="center"/>
        <w:rPr>
          <w:rFonts w:ascii="Montserrat" w:hAnsi="Montserrat"/>
          <w:b/>
          <w:bCs/>
          <w:color w:val="243962"/>
          <w:sz w:val="28"/>
          <w:szCs w:val="28"/>
          <w:lang w:eastAsia="es-ES"/>
          <w14:ligatures w14:val="none"/>
        </w:rPr>
      </w:pPr>
    </w:p>
    <w:p w14:paraId="20331C01" w14:textId="77777777" w:rsidR="008B0D46" w:rsidRDefault="008B0D46" w:rsidP="008B0D46">
      <w:pPr>
        <w:rPr>
          <w:rFonts w:ascii="Muli" w:hAnsi="Muli"/>
          <w:sz w:val="24"/>
          <w:szCs w:val="24"/>
        </w:rPr>
      </w:pPr>
    </w:p>
    <w:p w14:paraId="63C6077C" w14:textId="4BA6CF38" w:rsidR="008B0D46" w:rsidRDefault="008B0D46" w:rsidP="008B0D46">
      <w:pPr>
        <w:rPr>
          <w:rFonts w:ascii="Muli" w:hAnsi="Muli"/>
          <w:sz w:val="24"/>
          <w:szCs w:val="24"/>
        </w:rPr>
      </w:pPr>
      <w:r w:rsidRPr="200BADFB">
        <w:rPr>
          <w:rFonts w:ascii="Muli" w:hAnsi="Muli"/>
          <w:sz w:val="24"/>
          <w:szCs w:val="24"/>
        </w:rPr>
        <w:t xml:space="preserve">Madrid, </w:t>
      </w:r>
      <w:r>
        <w:rPr>
          <w:rFonts w:ascii="Muli" w:hAnsi="Muli"/>
          <w:sz w:val="24"/>
          <w:szCs w:val="24"/>
        </w:rPr>
        <w:t>20 de junio</w:t>
      </w:r>
    </w:p>
    <w:p w14:paraId="1C173A1E" w14:textId="20D817A9" w:rsidR="006506A2" w:rsidRDefault="008B0D46" w:rsidP="008B0D46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 w:rsidRPr="200BADFB">
        <w:rPr>
          <w:rStyle w:val="normaltextrun"/>
          <w:rFonts w:ascii="Muli" w:hAnsi="Muli"/>
        </w:rPr>
        <w:t>“</w:t>
      </w:r>
      <w:r w:rsidR="00D745D6">
        <w:rPr>
          <w:rStyle w:val="normaltextrun"/>
          <w:rFonts w:ascii="Muli" w:hAnsi="Muli"/>
        </w:rPr>
        <w:t>E</w:t>
      </w:r>
      <w:r>
        <w:rPr>
          <w:rStyle w:val="normaltextrun"/>
          <w:rFonts w:ascii="Muli" w:hAnsi="Muli"/>
        </w:rPr>
        <w:t>l Instituto Nacional de Estadística</w:t>
      </w:r>
      <w:r w:rsidR="00D745D6">
        <w:rPr>
          <w:rStyle w:val="normaltextrun"/>
          <w:rFonts w:ascii="Muli" w:hAnsi="Muli"/>
        </w:rPr>
        <w:t xml:space="preserve"> ha publicado este viernes </w:t>
      </w:r>
      <w:r w:rsidR="006506A2">
        <w:rPr>
          <w:rStyle w:val="normaltextrun"/>
          <w:rFonts w:ascii="Muli" w:hAnsi="Muli"/>
        </w:rPr>
        <w:t>su</w:t>
      </w:r>
      <w:r w:rsidR="00D745D6">
        <w:rPr>
          <w:rStyle w:val="normaltextrun"/>
          <w:rFonts w:ascii="Muli" w:hAnsi="Muli"/>
        </w:rPr>
        <w:t xml:space="preserve">s datos </w:t>
      </w:r>
      <w:r w:rsidR="006506A2">
        <w:rPr>
          <w:rStyle w:val="normaltextrun"/>
          <w:rFonts w:ascii="Muli" w:hAnsi="Muli"/>
        </w:rPr>
        <w:t xml:space="preserve">recopilados sobre el número de </w:t>
      </w:r>
      <w:r w:rsidR="00D745D6">
        <w:rPr>
          <w:rStyle w:val="normaltextrun"/>
          <w:rFonts w:ascii="Muli" w:hAnsi="Muli"/>
        </w:rPr>
        <w:t>hipotecas firmadas en España el pasado mes de abril. Según e</w:t>
      </w:r>
      <w:r w:rsidR="006506A2">
        <w:rPr>
          <w:rStyle w:val="normaltextrun"/>
          <w:rFonts w:ascii="Muli" w:hAnsi="Muli"/>
        </w:rPr>
        <w:t>ste</w:t>
      </w:r>
      <w:r w:rsidR="00D745D6">
        <w:rPr>
          <w:rStyle w:val="normaltextrun"/>
          <w:rFonts w:ascii="Muli" w:hAnsi="Muli"/>
        </w:rPr>
        <w:t xml:space="preserve"> organismo oficial, durante el cuarto mes de este año se firmaron </w:t>
      </w:r>
      <w:r w:rsidR="002E3F41">
        <w:rPr>
          <w:rStyle w:val="normaltextrun"/>
          <w:rFonts w:ascii="Muli" w:hAnsi="Muli"/>
        </w:rPr>
        <w:t>39.176</w:t>
      </w:r>
      <w:r w:rsidR="00D745D6">
        <w:rPr>
          <w:rStyle w:val="normaltextrun"/>
          <w:rFonts w:ascii="Muli" w:hAnsi="Muli"/>
        </w:rPr>
        <w:t xml:space="preserve"> préstamos sobre vivienda en este país, un </w:t>
      </w:r>
      <w:r w:rsidR="002E3F41">
        <w:rPr>
          <w:rStyle w:val="normaltextrun"/>
          <w:rFonts w:ascii="Muli" w:hAnsi="Muli"/>
        </w:rPr>
        <w:t>14,39</w:t>
      </w:r>
      <w:r w:rsidR="00D745D6">
        <w:rPr>
          <w:rStyle w:val="normaltextrun"/>
          <w:rFonts w:ascii="Muli" w:hAnsi="Muli"/>
        </w:rPr>
        <w:t>% más que durante el mismo mes de 2024 (</w:t>
      </w:r>
      <w:r w:rsidR="002E3F41">
        <w:rPr>
          <w:rStyle w:val="normaltextrun"/>
          <w:rFonts w:ascii="Muli" w:hAnsi="Muli"/>
        </w:rPr>
        <w:t>34.348</w:t>
      </w:r>
      <w:r w:rsidR="00D745D6">
        <w:rPr>
          <w:rStyle w:val="normaltextrun"/>
          <w:rFonts w:ascii="Muli" w:hAnsi="Muli"/>
        </w:rPr>
        <w:t xml:space="preserve">). </w:t>
      </w:r>
      <w:r w:rsidR="009D54BE">
        <w:rPr>
          <w:rStyle w:val="normaltextrun"/>
          <w:rFonts w:ascii="Muli" w:hAnsi="Muli"/>
        </w:rPr>
        <w:t xml:space="preserve">Y si analizamos los cuatro primeros meses de este año vemos un repunte de hasta el </w:t>
      </w:r>
      <w:r w:rsidR="00DD5FD8">
        <w:rPr>
          <w:rStyle w:val="normaltextrun"/>
          <w:rFonts w:ascii="Muli" w:hAnsi="Muli"/>
        </w:rPr>
        <w:t>17,34</w:t>
      </w:r>
      <w:r w:rsidR="009D54BE">
        <w:rPr>
          <w:rStyle w:val="normaltextrun"/>
          <w:rFonts w:ascii="Muli" w:hAnsi="Muli"/>
        </w:rPr>
        <w:t xml:space="preserve">% </w:t>
      </w:r>
      <w:r w:rsidR="0006342C">
        <w:rPr>
          <w:rStyle w:val="normaltextrun"/>
          <w:rFonts w:ascii="Muli" w:hAnsi="Muli"/>
        </w:rPr>
        <w:t xml:space="preserve">en </w:t>
      </w:r>
      <w:r w:rsidR="009D54BE">
        <w:rPr>
          <w:rStyle w:val="normaltextrun"/>
          <w:rFonts w:ascii="Muli" w:hAnsi="Muli"/>
        </w:rPr>
        <w:t>la firma de hipotecas en España respecto al mismo periodo del año pasado.</w:t>
      </w:r>
    </w:p>
    <w:p w14:paraId="72F9F7C8" w14:textId="02FFBE08" w:rsidR="003A0FEB" w:rsidRDefault="003A0FEB" w:rsidP="003A0FEB">
      <w:pPr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</w:pPr>
      <w:r w:rsidRPr="003A0FEB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>Est</w:t>
      </w:r>
      <w:r w:rsidR="009D54BE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>os</w:t>
      </w:r>
      <w:r w:rsidRPr="003A0FEB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 dato</w:t>
      </w:r>
      <w:r w:rsidR="009D54BE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>s</w:t>
      </w:r>
      <w:r w:rsidRPr="003A0FEB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 confirma</w:t>
      </w:r>
      <w:r w:rsidR="009D54BE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>n</w:t>
      </w:r>
      <w:r w:rsidRPr="003A0FEB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 que el mercado hipotecario mantiene una tendencia sólida de recuperación, incluso en u</w:t>
      </w:r>
      <w:r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>n mes con</w:t>
      </w:r>
      <w:r w:rsidRPr="003A0FEB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 menor actividad</w:t>
      </w:r>
      <w:r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>.</w:t>
      </w:r>
      <w:r w:rsidRPr="003A0FEB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 Abril de 2025 contó con solo 20 días hábiles, frente a los 22 de abril de 2024, debido a que la Semana Santa cayó este año a mediados de mes, lo que tradicionalmente reduce el ritmo de compraventas y formalización de hipotecas.</w:t>
      </w:r>
      <w:r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 </w:t>
      </w:r>
      <w:r w:rsidRPr="003A0FEB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Aun así, el volumen de préstamos para vivienda ha logrado crecer con fuerza, lo que demuestra que la demanda sigue activa y que los bancos continúan mostrando </w:t>
      </w:r>
      <w:r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gran </w:t>
      </w:r>
      <w:r w:rsidRPr="003A0FEB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>disposición a financiar operaciones</w:t>
      </w:r>
      <w:r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 de compraventa.</w:t>
      </w:r>
    </w:p>
    <w:p w14:paraId="5C6D3382" w14:textId="2D37C72A" w:rsidR="003A0FEB" w:rsidRDefault="003A0FEB" w:rsidP="00BA0D77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 w:rsidRPr="003A0FEB">
        <w:rPr>
          <w:rStyle w:val="normaltextrun"/>
          <w:rFonts w:ascii="Muli" w:hAnsi="Muli"/>
        </w:rPr>
        <w:t>Este crecimiento interanual</w:t>
      </w:r>
      <w:r w:rsidR="00014ACF">
        <w:rPr>
          <w:rStyle w:val="normaltextrun"/>
          <w:rFonts w:ascii="Muli" w:hAnsi="Muli"/>
        </w:rPr>
        <w:t xml:space="preserve"> registrado por el INE</w:t>
      </w:r>
      <w:r w:rsidRPr="003A0FEB">
        <w:rPr>
          <w:rStyle w:val="normaltextrun"/>
          <w:rFonts w:ascii="Muli" w:hAnsi="Muli"/>
        </w:rPr>
        <w:t xml:space="preserve"> es una señal muy clara de que el mercado hipotecario ha dejado atrás su etapa más incierta. Incluso con menos días hábiles, la actividad ha sido intensa</w:t>
      </w:r>
      <w:r>
        <w:rPr>
          <w:rStyle w:val="normaltextrun"/>
          <w:rFonts w:ascii="Muli" w:hAnsi="Muli"/>
        </w:rPr>
        <w:t>.</w:t>
      </w:r>
      <w:r w:rsidR="00014ACF">
        <w:rPr>
          <w:rStyle w:val="normaltextrun"/>
          <w:rFonts w:ascii="Muli" w:hAnsi="Muli"/>
        </w:rPr>
        <w:t xml:space="preserve"> En esta línea, desde el comparador y asesor hipotecario i</w:t>
      </w:r>
      <w:r>
        <w:rPr>
          <w:rStyle w:val="normaltextrun"/>
          <w:rFonts w:ascii="Muli" w:hAnsi="Muli"/>
        </w:rPr>
        <w:t xml:space="preserve">Ahorro hemos visto estos meses cómo </w:t>
      </w:r>
      <w:r w:rsidR="00014ACF">
        <w:rPr>
          <w:rStyle w:val="normaltextrun"/>
          <w:rFonts w:ascii="Muli" w:hAnsi="Muli"/>
        </w:rPr>
        <w:t>nuestros usuarios</w:t>
      </w:r>
      <w:r w:rsidRPr="003A0FEB">
        <w:rPr>
          <w:rStyle w:val="normaltextrun"/>
          <w:rFonts w:ascii="Muli" w:hAnsi="Muli"/>
        </w:rPr>
        <w:t xml:space="preserve"> han acelerado sus decisiones de compra ante la previsión </w:t>
      </w:r>
      <w:r w:rsidR="00014ACF">
        <w:rPr>
          <w:rStyle w:val="normaltextrun"/>
          <w:rFonts w:ascii="Muli" w:hAnsi="Muli"/>
        </w:rPr>
        <w:t>de un mayor aumento de la subida de precios de la vivienda.</w:t>
      </w:r>
    </w:p>
    <w:p w14:paraId="69D07EA4" w14:textId="6FFF2A57" w:rsidR="00907576" w:rsidRDefault="00014ACF" w:rsidP="00907576">
      <w:pPr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</w:pPr>
      <w:r>
        <w:rPr>
          <w:rStyle w:val="normaltextrun"/>
          <w:rFonts w:ascii="Muli" w:hAnsi="Muli"/>
          <w:sz w:val="24"/>
          <w:szCs w:val="24"/>
        </w:rPr>
        <w:t>Y es que, s</w:t>
      </w:r>
      <w:r w:rsidR="00BA0D77" w:rsidRPr="00907576">
        <w:rPr>
          <w:rStyle w:val="normaltextrun"/>
          <w:rFonts w:ascii="Muli" w:hAnsi="Muli"/>
          <w:sz w:val="24"/>
          <w:szCs w:val="24"/>
        </w:rPr>
        <w:t>egún el organismo oficial, el pasado mes de abril el importe medio financiado para la compra de vivienda (importe medio de las hipotecas constituidas) se situó en los</w:t>
      </w:r>
      <w:r w:rsidR="00574BE4" w:rsidRPr="00907576">
        <w:rPr>
          <w:rStyle w:val="normaltextrun"/>
          <w:rFonts w:ascii="Muli" w:hAnsi="Muli"/>
          <w:sz w:val="24"/>
          <w:szCs w:val="24"/>
        </w:rPr>
        <w:t xml:space="preserve"> 155.883 euros, un </w:t>
      </w:r>
      <w:r w:rsidR="0069713E">
        <w:rPr>
          <w:rStyle w:val="normaltextrun"/>
          <w:rFonts w:ascii="Muli" w:hAnsi="Muli"/>
          <w:sz w:val="24"/>
          <w:szCs w:val="24"/>
        </w:rPr>
        <w:t>12,4</w:t>
      </w:r>
      <w:r w:rsidR="00574BE4" w:rsidRPr="00907576">
        <w:rPr>
          <w:rStyle w:val="normaltextrun"/>
          <w:rFonts w:ascii="Muli" w:hAnsi="Muli"/>
          <w:sz w:val="24"/>
          <w:szCs w:val="24"/>
        </w:rPr>
        <w:t>% por encima del registrado un año antes, cuando era de 139.328 euros.</w:t>
      </w:r>
      <w:r w:rsidR="00907576" w:rsidRPr="00907576">
        <w:rPr>
          <w:rStyle w:val="normaltextrun"/>
          <w:rFonts w:ascii="Muli" w:hAnsi="Muli"/>
          <w:sz w:val="24"/>
          <w:szCs w:val="24"/>
        </w:rPr>
        <w:t xml:space="preserve"> </w:t>
      </w:r>
      <w:r w:rsidR="00907576" w:rsidRPr="00907576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Este aumento refleja no solo el encarecimiento progresivo del precio de la vivienda, sino también una mayor capacidad de endeudamiento entre los compradores y una financiación más elevada por parte de </w:t>
      </w:r>
      <w:r w:rsidR="00907576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>los bancos</w:t>
      </w:r>
      <w:r w:rsidR="00907576" w:rsidRPr="00907576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. El contexto de tipos de interés más estables, junto con una mayor competencia entre bancos, está facilitando condiciones más atractivas </w:t>
      </w:r>
      <w:r w:rsidR="00907576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>para los futuros hipotecados.</w:t>
      </w:r>
    </w:p>
    <w:p w14:paraId="06D9A59C" w14:textId="77777777" w:rsidR="00907576" w:rsidRDefault="00907576" w:rsidP="00907576">
      <w:pPr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</w:pPr>
    </w:p>
    <w:p w14:paraId="15AB0DAD" w14:textId="745C625F" w:rsidR="00907576" w:rsidRDefault="000754B9" w:rsidP="00907576">
      <w:pPr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</w:pPr>
      <w:r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>Precisamente por esto, en</w:t>
      </w:r>
      <w:r w:rsidRPr="000754B9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 iAhorro</w:t>
      </w:r>
      <w:r w:rsidR="0069713E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 también</w:t>
      </w:r>
      <w:r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 estamos observando un cambio de tendencia en el mercado hipotecario</w:t>
      </w:r>
      <w:r w:rsidR="001B4A1C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: </w:t>
      </w:r>
      <w:r w:rsidR="0069713E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se está produciendo </w:t>
      </w:r>
      <w:r w:rsidR="001B4A1C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ya </w:t>
      </w:r>
      <w:r w:rsidR="001B4A1C" w:rsidRPr="001B4A1C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un claro repunte de la demanda de hipotecas a tipo fijo, que vuelven a posicionarse como la opción preferida por los compradores. Frente a la incertidumbre </w:t>
      </w:r>
      <w:r w:rsidR="001B4A1C" w:rsidRPr="001B4A1C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lastRenderedPageBreak/>
        <w:t>vivida en los dos últimos años, los usuarios ahora valoran especialmente la estabilidad a largo plazo y la seguridad en la cuota mensual.</w:t>
      </w:r>
      <w:r w:rsidR="008C5CCC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 Es cierto que esto se produce también porque l</w:t>
      </w:r>
      <w:r w:rsidR="008C5CCC" w:rsidRPr="008C5CCC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 xml:space="preserve">os bancos están lanzando ofertas más competitivas en este segmento, y los clientes lo perciben como una fórmula de protección ante posibles </w:t>
      </w:r>
      <w:r w:rsidR="008C5CCC">
        <w:rPr>
          <w:rStyle w:val="normaltextrun"/>
          <w:rFonts w:ascii="Muli" w:hAnsi="Muli" w:cs="Times New Roman"/>
          <w:sz w:val="24"/>
          <w:szCs w:val="24"/>
          <w:lang w:eastAsia="es-ES"/>
          <w14:ligatures w14:val="none"/>
        </w:rPr>
        <w:t>cambios en el panorama económico global.</w:t>
      </w:r>
    </w:p>
    <w:p w14:paraId="06869309" w14:textId="79614D39" w:rsidR="007E54FD" w:rsidRDefault="009D54BE" w:rsidP="007E54FD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t>¿</w:t>
      </w:r>
      <w:r w:rsidR="002E49CA" w:rsidRPr="002E49CA">
        <w:rPr>
          <w:rStyle w:val="normaltextrun"/>
          <w:rFonts w:ascii="Muli" w:hAnsi="Muli"/>
        </w:rPr>
        <w:t>Qué se espera para los próximos meses?</w:t>
      </w:r>
      <w:r w:rsidR="007E54FD">
        <w:rPr>
          <w:rStyle w:val="normaltextrun"/>
          <w:rFonts w:ascii="Muli" w:hAnsi="Muli"/>
        </w:rPr>
        <w:t xml:space="preserve"> Si no nos centramos exclusivamente en los datos del INE, en el sector hipotecario vemos que, mi</w:t>
      </w:r>
      <w:r w:rsidR="002E49CA" w:rsidRPr="002E49CA">
        <w:rPr>
          <w:rStyle w:val="normaltextrun"/>
          <w:rFonts w:ascii="Muli" w:hAnsi="Muli"/>
        </w:rPr>
        <w:t xml:space="preserve">entras que las condiciones que ofrecen </w:t>
      </w:r>
      <w:r w:rsidR="007E54FD">
        <w:rPr>
          <w:rStyle w:val="normaltextrun"/>
          <w:rFonts w:ascii="Muli" w:hAnsi="Muli"/>
        </w:rPr>
        <w:t>las entidades financieras</w:t>
      </w:r>
      <w:r w:rsidR="002E49CA" w:rsidRPr="002E49CA">
        <w:rPr>
          <w:rStyle w:val="normaltextrun"/>
          <w:rFonts w:ascii="Muli" w:hAnsi="Muli"/>
        </w:rPr>
        <w:t xml:space="preserve"> sigan siendo competitivas, sobre todo para perfiles solventes, el mercado</w:t>
      </w:r>
      <w:r w:rsidR="002E49CA">
        <w:rPr>
          <w:rStyle w:val="normaltextrun"/>
          <w:rFonts w:ascii="Muli" w:hAnsi="Muli"/>
        </w:rPr>
        <w:t xml:space="preserve"> hipotecario</w:t>
      </w:r>
      <w:r w:rsidR="002E49CA" w:rsidRPr="002E49CA">
        <w:rPr>
          <w:rStyle w:val="normaltextrun"/>
          <w:rFonts w:ascii="Muli" w:hAnsi="Muli"/>
        </w:rPr>
        <w:t xml:space="preserve"> seguirá al alza. </w:t>
      </w:r>
      <w:r w:rsidR="002E49CA">
        <w:rPr>
          <w:rStyle w:val="normaltextrun"/>
          <w:rFonts w:ascii="Muli" w:hAnsi="Muli"/>
        </w:rPr>
        <w:t xml:space="preserve">Es cierto que también meses como julio y agosto son menos productivos por ser los meses en los que se concentran gran parte de las vacaciones de las empresas (también de los bancos, notarios, etc.) y seguramente veamos una relajación en la firma de hipotecas por este motivo. Pero </w:t>
      </w:r>
      <w:r w:rsidR="0069713E">
        <w:rPr>
          <w:rStyle w:val="normaltextrun"/>
          <w:rFonts w:ascii="Muli" w:hAnsi="Muli"/>
        </w:rPr>
        <w:t>no</w:t>
      </w:r>
      <w:r w:rsidR="002E49CA">
        <w:rPr>
          <w:rStyle w:val="normaltextrun"/>
          <w:rFonts w:ascii="Muli" w:hAnsi="Muli"/>
        </w:rPr>
        <w:t xml:space="preserve"> será nada preocupante</w:t>
      </w:r>
      <w:r w:rsidR="0069713E">
        <w:rPr>
          <w:rStyle w:val="normaltextrun"/>
          <w:rFonts w:ascii="Muli" w:hAnsi="Muli"/>
        </w:rPr>
        <w:t>; es habitual que pase todos los años</w:t>
      </w:r>
      <w:r w:rsidR="002E49CA">
        <w:rPr>
          <w:rStyle w:val="normaltextrun"/>
          <w:rFonts w:ascii="Muli" w:hAnsi="Muli"/>
        </w:rPr>
        <w:t xml:space="preserve">. </w:t>
      </w:r>
    </w:p>
    <w:p w14:paraId="2FF2E454" w14:textId="4D7FF150" w:rsidR="002E49CA" w:rsidRPr="002E49CA" w:rsidRDefault="002E49CA" w:rsidP="007E54FD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t xml:space="preserve">Es más, esperamos que el mes de septiembre todo vuelva </w:t>
      </w:r>
      <w:r w:rsidR="0006342C">
        <w:rPr>
          <w:rStyle w:val="normaltextrun"/>
          <w:rFonts w:ascii="Muli" w:hAnsi="Muli"/>
        </w:rPr>
        <w:t xml:space="preserve">incluso </w:t>
      </w:r>
      <w:r>
        <w:rPr>
          <w:rStyle w:val="normaltextrun"/>
          <w:rFonts w:ascii="Muli" w:hAnsi="Muli"/>
        </w:rPr>
        <w:t>con más fuerza: que el euríbor baje por fin del 2% en el que lleva entre dos y tres meses estancado, que la banca vuelva a abaratar sus ofertas hipotecarias y, ¿por qué no? Que el Banco Central Europeo (BCE) continúe con su política de descensos en los tipos de interés oficiales, ahora situados en el 2%.”</w:t>
      </w:r>
    </w:p>
    <w:p w14:paraId="49B1B316" w14:textId="77777777" w:rsidR="007E54FD" w:rsidRDefault="007E54FD" w:rsidP="008B0D46">
      <w:pPr>
        <w:rPr>
          <w:rStyle w:val="contentpasted0"/>
          <w:rFonts w:ascii="Muli" w:hAnsi="Muli"/>
          <w:color w:val="000000"/>
          <w:u w:val="single"/>
        </w:rPr>
      </w:pPr>
    </w:p>
    <w:p w14:paraId="72D4DD6C" w14:textId="54909505" w:rsidR="008B0D46" w:rsidRDefault="008B0D46" w:rsidP="008B0D46">
      <w:pPr>
        <w:rPr>
          <w:rStyle w:val="contentpasted0"/>
          <w:rFonts w:ascii="Muli" w:hAnsi="Muli"/>
          <w:color w:val="000000"/>
          <w:u w:val="single"/>
        </w:rPr>
      </w:pPr>
      <w:r>
        <w:rPr>
          <w:rStyle w:val="contentpasted0"/>
          <w:rFonts w:ascii="Muli" w:hAnsi="Muli"/>
          <w:color w:val="000000"/>
          <w:u w:val="single"/>
        </w:rPr>
        <w:t>Simone Colombelli, director de Hipotecas de iAhorro.</w:t>
      </w:r>
    </w:p>
    <w:p w14:paraId="6B3F780F" w14:textId="77777777" w:rsidR="008B0D46" w:rsidRDefault="008B0D46" w:rsidP="008B0D46">
      <w:pPr>
        <w:rPr>
          <w:rStyle w:val="contentpasted0"/>
          <w:rFonts w:ascii="Muli" w:hAnsi="Muli"/>
          <w:color w:val="000000"/>
          <w:u w:val="single"/>
        </w:rPr>
      </w:pPr>
    </w:p>
    <w:p w14:paraId="7CEDD327" w14:textId="77777777" w:rsidR="008B0D46" w:rsidRDefault="008B0D46" w:rsidP="008B0D46">
      <w:pPr>
        <w:rPr>
          <w:rStyle w:val="contentpasted0"/>
          <w:rFonts w:ascii="Muli" w:hAnsi="Muli"/>
          <w:color w:val="000000"/>
          <w:u w:val="single"/>
        </w:rPr>
      </w:pPr>
    </w:p>
    <w:p w14:paraId="4ACA7B2D" w14:textId="77777777" w:rsidR="008B0D46" w:rsidRDefault="008B0D46" w:rsidP="008B0D46">
      <w:pPr>
        <w:spacing w:after="160"/>
        <w:rPr>
          <w:rStyle w:val="contentpasted0"/>
          <w:rFonts w:ascii="Muli" w:hAnsi="Muli"/>
          <w:color w:val="000000"/>
          <w:sz w:val="24"/>
          <w:szCs w:val="24"/>
          <w:lang w:val="es-ES_tradnl"/>
        </w:rPr>
      </w:pPr>
      <w:r>
        <w:rPr>
          <w:rStyle w:val="contentpasted0"/>
          <w:rFonts w:ascii="Muli" w:hAnsi="Muli"/>
          <w:b/>
          <w:bCs/>
          <w:color w:val="243962"/>
          <w:sz w:val="24"/>
          <w:szCs w:val="24"/>
          <w:lang w:val="es-ES_tradnl"/>
        </w:rPr>
        <w:t xml:space="preserve">Si necesita más información o declaraciones en formato audiovisual: </w:t>
      </w:r>
      <w:r>
        <w:rPr>
          <w:rStyle w:val="contentpasted0"/>
          <w:rFonts w:ascii="Muli" w:hAnsi="Muli"/>
          <w:color w:val="000000"/>
          <w:sz w:val="24"/>
          <w:szCs w:val="24"/>
          <w:lang w:val="es-ES_tradnl"/>
        </w:rPr>
        <w:t>Póngase en contacto con el departamento de Comunicación. </w:t>
      </w:r>
    </w:p>
    <w:tbl>
      <w:tblPr>
        <w:tblW w:w="70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2547"/>
        <w:gridCol w:w="2529"/>
      </w:tblGrid>
      <w:tr w:rsidR="008B0D46" w:rsidRPr="00AF342D" w14:paraId="12A16F6B" w14:textId="77777777" w:rsidTr="00D576FB">
        <w:trPr>
          <w:trHeight w:val="132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43880" w14:textId="77777777" w:rsidR="008B0D46" w:rsidRDefault="008B0D46" w:rsidP="00D576FB">
            <w:pPr>
              <w:pStyle w:val="Piedepgina"/>
              <w:spacing w:line="252" w:lineRule="auto"/>
              <w:rPr>
                <w:rFonts w:ascii="Aptos" w:hAnsi="Aptos" w:cs="Aptos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AA109EE" wp14:editId="6F06E851">
                  <wp:extent cx="1143000" cy="565999"/>
                  <wp:effectExtent l="0" t="0" r="0" b="0"/>
                  <wp:docPr id="1332602733" name="Imagen 1" descr="Logotip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384" cy="568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86775" w14:textId="77777777" w:rsidR="008B0D46" w:rsidRDefault="008B0D46" w:rsidP="00D576FB">
            <w:pPr>
              <w:pStyle w:val="Piedepgina"/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2485CEFE" w14:textId="77777777" w:rsidR="008B0D46" w:rsidRDefault="008B0D46" w:rsidP="00D576FB">
            <w:pPr>
              <w:pStyle w:val="Piedepgina"/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3C62B7CC" w14:textId="77777777" w:rsidR="008B0D46" w:rsidRDefault="008B0D46" w:rsidP="00D576FB">
            <w:pPr>
              <w:pStyle w:val="Piedepgina"/>
              <w:spacing w:line="252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Laura Martínez</w:t>
            </w:r>
            <w:r>
              <w:rPr>
                <w:sz w:val="18"/>
                <w:szCs w:val="18"/>
              </w:rPr>
              <w:t xml:space="preserve"> – 686 688 757</w:t>
            </w:r>
            <w:r>
              <w:rPr>
                <w:sz w:val="18"/>
                <w:szCs w:val="18"/>
              </w:rPr>
              <w:br/>
            </w:r>
            <w:hyperlink r:id="rId6" w:history="1">
              <w:r w:rsidRPr="009D144E">
                <w:rPr>
                  <w:rStyle w:val="Hipervnculo"/>
                  <w:sz w:val="18"/>
                  <w:szCs w:val="18"/>
                </w:rPr>
                <w:t>laura.martinez@iahorro.com</w:t>
              </w:r>
            </w:hyperlink>
          </w:p>
          <w:p w14:paraId="3231D890" w14:textId="77777777" w:rsidR="008B0D46" w:rsidRDefault="008B0D46" w:rsidP="00D576FB">
            <w:pPr>
              <w:pStyle w:val="Piedepgina"/>
              <w:spacing w:line="252" w:lineRule="auto"/>
              <w:jc w:val="center"/>
              <w:rPr>
                <w:b/>
                <w:bCs/>
                <w:sz w:val="18"/>
                <w:szCs w:val="18"/>
                <w:lang w:val="pt-PT"/>
              </w:rPr>
            </w:pPr>
          </w:p>
          <w:p w14:paraId="3D4DE2C8" w14:textId="77777777" w:rsidR="008B0D46" w:rsidRDefault="008B0D46" w:rsidP="00D576FB">
            <w:pPr>
              <w:pStyle w:val="Piedepgina"/>
              <w:spacing w:line="252" w:lineRule="auto"/>
              <w:jc w:val="center"/>
              <w:rPr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01DDA8" w14:textId="77777777" w:rsidR="008B0D46" w:rsidRDefault="008B0D46" w:rsidP="00D576FB">
            <w:pPr>
              <w:pStyle w:val="Piedepgina"/>
              <w:spacing w:line="252" w:lineRule="auto"/>
              <w:rPr>
                <w:b/>
                <w:bCs/>
                <w:sz w:val="18"/>
                <w:szCs w:val="18"/>
                <w:lang w:val="pt-PT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Noelia Pérez</w:t>
            </w:r>
            <w:r>
              <w:rPr>
                <w:sz w:val="18"/>
                <w:szCs w:val="18"/>
                <w:lang w:val="pt-PT"/>
              </w:rPr>
              <w:t xml:space="preserve"> – 653 247 167</w:t>
            </w:r>
            <w:r>
              <w:rPr>
                <w:sz w:val="18"/>
                <w:szCs w:val="18"/>
                <w:lang w:val="pt-PT"/>
              </w:rPr>
              <w:br/>
            </w:r>
            <w:hyperlink r:id="rId7" w:history="1">
              <w:r>
                <w:rPr>
                  <w:rStyle w:val="Hipervnculo"/>
                  <w:sz w:val="18"/>
                  <w:szCs w:val="18"/>
                  <w:lang w:val="pt-PT"/>
                </w:rPr>
                <w:t>noelia.perez@iahorro.com</w:t>
              </w:r>
            </w:hyperlink>
          </w:p>
        </w:tc>
      </w:tr>
    </w:tbl>
    <w:p w14:paraId="563C193D" w14:textId="77777777" w:rsidR="008B0D46" w:rsidRPr="009B13AE" w:rsidRDefault="008B0D46" w:rsidP="008B0D46">
      <w:pPr>
        <w:rPr>
          <w:lang w:val="pt-PT"/>
        </w:rPr>
      </w:pPr>
    </w:p>
    <w:p w14:paraId="16EBE9FE" w14:textId="77777777" w:rsidR="00381D98" w:rsidRDefault="00381D98"/>
    <w:sectPr w:rsidR="00381D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panose1 w:val="00000000000000000000"/>
    <w:charset w:val="00"/>
    <w:family w:val="auto"/>
    <w:pitch w:val="variable"/>
    <w:sig w:usb0="A00000FF" w:usb1="5000204B" w:usb2="00000000" w:usb3="00000000" w:csb0="00000193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D46"/>
    <w:rsid w:val="00014ACF"/>
    <w:rsid w:val="0006342C"/>
    <w:rsid w:val="000754B9"/>
    <w:rsid w:val="0014369C"/>
    <w:rsid w:val="001B0F85"/>
    <w:rsid w:val="001B4A1C"/>
    <w:rsid w:val="002E3F41"/>
    <w:rsid w:val="002E49CA"/>
    <w:rsid w:val="00381D98"/>
    <w:rsid w:val="003A0FEB"/>
    <w:rsid w:val="003A55DD"/>
    <w:rsid w:val="004352EA"/>
    <w:rsid w:val="00574BE4"/>
    <w:rsid w:val="00582631"/>
    <w:rsid w:val="006506A2"/>
    <w:rsid w:val="00657AE7"/>
    <w:rsid w:val="0069713E"/>
    <w:rsid w:val="007E54FD"/>
    <w:rsid w:val="007E748F"/>
    <w:rsid w:val="008B0D46"/>
    <w:rsid w:val="008C5CCC"/>
    <w:rsid w:val="00907576"/>
    <w:rsid w:val="009D54BE"/>
    <w:rsid w:val="00A101C1"/>
    <w:rsid w:val="00BA0D77"/>
    <w:rsid w:val="00D576FB"/>
    <w:rsid w:val="00D745D6"/>
    <w:rsid w:val="00DB305B"/>
    <w:rsid w:val="00DD5FD8"/>
    <w:rsid w:val="00E50C1E"/>
    <w:rsid w:val="00F6696C"/>
    <w:rsid w:val="00FD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A6859"/>
  <w15:chartTrackingRefBased/>
  <w15:docId w15:val="{F6B41076-4A59-4BBD-8D07-4E9EBCD7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D46"/>
    <w:pPr>
      <w:spacing w:after="0" w:line="240" w:lineRule="auto"/>
    </w:pPr>
    <w:rPr>
      <w:rFonts w:ascii="Calibri" w:hAnsi="Calibri" w:cs="Calibri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8B0D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B0D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B0D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B0D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B0D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B0D4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B0D4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B0D4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B0D4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B0D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B0D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B0D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B0D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B0D4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B0D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B0D4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B0D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B0D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B0D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B0D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B0D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B0D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B0D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B0D4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B0D4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B0D4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B0D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B0D4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B0D46"/>
    <w:rPr>
      <w:b/>
      <w:bCs/>
      <w:smallCaps/>
      <w:color w:val="0F4761" w:themeColor="accent1" w:themeShade="BF"/>
      <w:spacing w:val="5"/>
    </w:rPr>
  </w:style>
  <w:style w:type="character" w:customStyle="1" w:styleId="contentpasted0">
    <w:name w:val="contentpasted0"/>
    <w:basedOn w:val="Fuentedeprrafopredeter"/>
    <w:rsid w:val="008B0D46"/>
  </w:style>
  <w:style w:type="paragraph" w:customStyle="1" w:styleId="paragraph">
    <w:name w:val="paragraph"/>
    <w:basedOn w:val="Normal"/>
    <w:rsid w:val="008B0D46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ES"/>
      <w14:ligatures w14:val="none"/>
    </w:rPr>
  </w:style>
  <w:style w:type="character" w:customStyle="1" w:styleId="normaltextrun">
    <w:name w:val="normaltextrun"/>
    <w:basedOn w:val="Fuentedeprrafopredeter"/>
    <w:rsid w:val="008B0D46"/>
  </w:style>
  <w:style w:type="paragraph" w:styleId="Piedepgina">
    <w:name w:val="footer"/>
    <w:basedOn w:val="Normal"/>
    <w:link w:val="PiedepginaCar"/>
    <w:uiPriority w:val="99"/>
    <w:unhideWhenUsed/>
    <w:rsid w:val="008B0D46"/>
    <w:pPr>
      <w:tabs>
        <w:tab w:val="center" w:pos="4252"/>
        <w:tab w:val="right" w:pos="8504"/>
      </w:tabs>
    </w:pPr>
    <w:rPr>
      <w:rFonts w:asciiTheme="minorHAnsi" w:hAnsiTheme="minorHAnsi" w:cstheme="minorBidi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B0D46"/>
  </w:style>
  <w:style w:type="character" w:styleId="Hipervnculo">
    <w:name w:val="Hyperlink"/>
    <w:basedOn w:val="Fuentedeprrafopredeter"/>
    <w:uiPriority w:val="99"/>
    <w:unhideWhenUsed/>
    <w:rsid w:val="008B0D4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2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35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6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93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elia.perez@iahorr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ura.martinez@iahorr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678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Noelia Perez</dc:creator>
  <cp:keywords/>
  <dc:description/>
  <cp:lastModifiedBy>Noelia Perez</cp:lastModifiedBy>
  <cp:revision>19</cp:revision>
  <dcterms:created xsi:type="dcterms:W3CDTF">2025-06-19T04:12:00Z</dcterms:created>
  <dcterms:modified xsi:type="dcterms:W3CDTF">2025-06-20T07:31:00Z</dcterms:modified>
</cp:coreProperties>
</file>