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4BED2" w14:textId="77777777" w:rsidR="00AB6375" w:rsidRDefault="00AB6375" w:rsidP="00AB6375">
      <w:pPr>
        <w:jc w:val="center"/>
        <w:rPr>
          <w:rFonts w:ascii="Times New Roman" w:hAnsi="Times New Roman" w:cs="Times New Roman"/>
          <w:color w:val="000000"/>
        </w:rPr>
      </w:pPr>
      <w:r>
        <w:rPr>
          <w:rStyle w:val="contentpasted0"/>
          <w:rFonts w:ascii="Muli" w:hAnsi="Muli"/>
          <w:b/>
          <w:bCs/>
          <w:color w:val="000000"/>
        </w:rPr>
        <w:t>Análisis de los datos del INE, por Laura Martínez</w:t>
      </w:r>
    </w:p>
    <w:p w14:paraId="7E69689C" w14:textId="0B2291A2" w:rsidR="00AB6375" w:rsidRDefault="001431D8" w:rsidP="00AB6375">
      <w:pPr>
        <w:jc w:val="center"/>
        <w:rPr>
          <w:rFonts w:ascii="Montserrat" w:hAnsi="Montserrat"/>
          <w:b/>
          <w:bCs/>
          <w:color w:val="243962"/>
          <w:sz w:val="32"/>
          <w:szCs w:val="32"/>
          <w:lang w:eastAsia="es-ES"/>
          <w14:ligatures w14:val="none"/>
        </w:rPr>
      </w:pPr>
      <w:r w:rsidRPr="001431D8">
        <w:rPr>
          <w:rFonts w:ascii="Montserrat" w:hAnsi="Montserrat"/>
          <w:b/>
          <w:bCs/>
          <w:color w:val="243962"/>
          <w:sz w:val="32"/>
          <w:szCs w:val="32"/>
          <w:lang w:eastAsia="es-ES"/>
          <w14:ligatures w14:val="none"/>
        </w:rPr>
        <w:t xml:space="preserve">La firma de hipotecas en España </w:t>
      </w:r>
      <w:r w:rsidR="00794E21">
        <w:rPr>
          <w:rFonts w:ascii="Montserrat" w:hAnsi="Montserrat"/>
          <w:b/>
          <w:bCs/>
          <w:color w:val="243962"/>
          <w:sz w:val="32"/>
          <w:szCs w:val="32"/>
          <w:lang w:eastAsia="es-ES"/>
          <w14:ligatures w14:val="none"/>
        </w:rPr>
        <w:t>aumenta un 2,3% en abril en tasa anual, la cifra más alta desde 2010</w:t>
      </w:r>
    </w:p>
    <w:p w14:paraId="51BEA6E0" w14:textId="77777777" w:rsidR="00AB6375" w:rsidRDefault="00AB6375"/>
    <w:p w14:paraId="732E0C06" w14:textId="4A3AC6A3" w:rsidR="00B754E8" w:rsidRDefault="00B754E8" w:rsidP="00B754E8">
      <w:pPr>
        <w:rPr>
          <w:rFonts w:ascii="Muli" w:hAnsi="Muli"/>
        </w:rPr>
      </w:pPr>
      <w:r w:rsidRPr="200BADFB">
        <w:rPr>
          <w:rFonts w:ascii="Muli" w:hAnsi="Muli"/>
        </w:rPr>
        <w:t>Madrid</w:t>
      </w:r>
      <w:r>
        <w:rPr>
          <w:rFonts w:ascii="Muli" w:hAnsi="Muli"/>
        </w:rPr>
        <w:t>, 2</w:t>
      </w:r>
      <w:r w:rsidR="00794E21">
        <w:rPr>
          <w:rFonts w:ascii="Muli" w:hAnsi="Muli"/>
        </w:rPr>
        <w:t>2</w:t>
      </w:r>
      <w:r>
        <w:rPr>
          <w:rFonts w:ascii="Muli" w:hAnsi="Muli"/>
        </w:rPr>
        <w:t xml:space="preserve"> de </w:t>
      </w:r>
      <w:r w:rsidR="00794E21">
        <w:rPr>
          <w:rFonts w:ascii="Muli" w:hAnsi="Muli"/>
        </w:rPr>
        <w:t xml:space="preserve">junio </w:t>
      </w:r>
      <w:r>
        <w:rPr>
          <w:rFonts w:ascii="Muli" w:hAnsi="Muli"/>
        </w:rPr>
        <w:t>de 2026</w:t>
      </w:r>
    </w:p>
    <w:p w14:paraId="718253AB" w14:textId="0C9F842E" w:rsidR="00794E21" w:rsidRDefault="00794E21" w:rsidP="00526F67">
      <w:pPr>
        <w:spacing w:after="0" w:line="240" w:lineRule="auto"/>
        <w:rPr>
          <w:rFonts w:ascii="Muli" w:hAnsi="Muli" w:cs="Calibri"/>
          <w:kern w:val="0"/>
        </w:rPr>
      </w:pPr>
      <w:r>
        <w:rPr>
          <w:rFonts w:ascii="Muli" w:hAnsi="Muli" w:cs="Calibri"/>
          <w:kern w:val="0"/>
        </w:rPr>
        <w:t xml:space="preserve">El mercado hipotecario español sigue dando señales positivas. Según los últimos datos publicados hoy por el Instituto Nacional de Estadística (INE) correspondientes al mes de abril de 2026, el número de hipotecas constituidas sobre viviendas aumenta hasta las 40.010, esto es, un 2,3% más en tasa anual. El número es el más alto para un mes de abril desde el año 2010. </w:t>
      </w:r>
    </w:p>
    <w:p w14:paraId="57275AAB" w14:textId="77777777" w:rsidR="00794E21" w:rsidRDefault="00794E21" w:rsidP="00526F67">
      <w:pPr>
        <w:spacing w:after="0" w:line="240" w:lineRule="auto"/>
        <w:rPr>
          <w:rFonts w:ascii="Muli" w:hAnsi="Muli" w:cs="Calibri"/>
          <w:kern w:val="0"/>
        </w:rPr>
      </w:pPr>
    </w:p>
    <w:p w14:paraId="53D49BDC" w14:textId="0AF68566" w:rsidR="00794E21" w:rsidRDefault="00794E21" w:rsidP="00526F67">
      <w:pPr>
        <w:spacing w:after="0" w:line="240" w:lineRule="auto"/>
        <w:rPr>
          <w:rFonts w:ascii="Muli" w:hAnsi="Muli" w:cs="Calibri"/>
          <w:kern w:val="0"/>
        </w:rPr>
      </w:pPr>
      <w:r>
        <w:rPr>
          <w:rFonts w:ascii="Muli" w:hAnsi="Muli" w:cs="Calibri"/>
          <w:kern w:val="0"/>
        </w:rPr>
        <w:t xml:space="preserve">El importe medio de los préstamos sobre viviendas aumentó un 11,1% con respecto al mismo mes del año pasado hasta situarse en los 173.331 euros siguiendo con la estela alcista que demuestra la capacidad de financiación de los españoles además de los precios de vivienda. Una tendencia optimista si bien se modera si lo comparamos con el mes de marzo de este año, cuando el importe medio fue un 0,5% superior. Sobre el total de fincas, el importe medio creció un 21% en términos anuales. </w:t>
      </w:r>
    </w:p>
    <w:p w14:paraId="765C19D4" w14:textId="77777777" w:rsidR="00794E21" w:rsidRDefault="00794E21" w:rsidP="00526F67">
      <w:pPr>
        <w:spacing w:after="0" w:line="240" w:lineRule="auto"/>
        <w:rPr>
          <w:rFonts w:ascii="Muli" w:hAnsi="Muli" w:cs="Calibri"/>
          <w:kern w:val="0"/>
        </w:rPr>
      </w:pPr>
    </w:p>
    <w:p w14:paraId="620652DD" w14:textId="3C15E10E" w:rsidR="00794E21" w:rsidRDefault="00794E21" w:rsidP="00526F67">
      <w:pPr>
        <w:spacing w:after="0" w:line="240" w:lineRule="auto"/>
        <w:rPr>
          <w:rFonts w:ascii="Muli" w:hAnsi="Muli" w:cs="Calibri"/>
          <w:kern w:val="0"/>
        </w:rPr>
      </w:pPr>
      <w:r>
        <w:rPr>
          <w:rFonts w:ascii="Muli" w:hAnsi="Muli" w:cs="Calibri"/>
          <w:kern w:val="0"/>
        </w:rPr>
        <w:t xml:space="preserve">El perfil del comprador de vivienda en España sigue apostando por la seguridad de la hipoteca fija: Durante el mes de abril el 62,9% de las hipotecas firmadas optaron por un tipo de interés fijo frente al 37,1% que eligió la modalidad variable. Las familias españolas siguen prefiriendo la estabilidad a largo plazo en un contexto global que lleva a tomar una decisión prudente como esta. </w:t>
      </w:r>
    </w:p>
    <w:p w14:paraId="4D40978F" w14:textId="77777777" w:rsidR="00676A7F" w:rsidRPr="00676A7F" w:rsidRDefault="00676A7F" w:rsidP="00676A7F">
      <w:pPr>
        <w:spacing w:after="0" w:line="240" w:lineRule="auto"/>
        <w:rPr>
          <w:rFonts w:ascii="Muli" w:hAnsi="Muli"/>
          <w:lang w:val="es-ES_tradnl"/>
        </w:rPr>
      </w:pPr>
    </w:p>
    <w:p w14:paraId="0E18E4FF" w14:textId="77777777" w:rsidR="007B261B" w:rsidRDefault="007B261B" w:rsidP="00676A7F">
      <w:pPr>
        <w:spacing w:after="0" w:line="240" w:lineRule="auto"/>
        <w:rPr>
          <w:rFonts w:ascii="Muli" w:hAnsi="Muli"/>
          <w:lang w:val="es-ES_tradnl"/>
        </w:rPr>
      </w:pPr>
    </w:p>
    <w:p w14:paraId="782748B0" w14:textId="62E78F0B" w:rsidR="007B261B" w:rsidRPr="00676A7F" w:rsidRDefault="00794E21" w:rsidP="00794E21">
      <w:pPr>
        <w:spacing w:after="0" w:line="240" w:lineRule="auto"/>
        <w:jc w:val="center"/>
        <w:rPr>
          <w:rFonts w:ascii="Muli" w:hAnsi="Muli"/>
          <w:lang w:val="es-ES_tradnl"/>
        </w:rPr>
      </w:pPr>
      <w:r>
        <w:rPr>
          <w:rFonts w:ascii="Montserrat" w:hAnsi="Montserrat"/>
          <w:b/>
          <w:bCs/>
          <w:color w:val="243962"/>
          <w:lang w:eastAsia="es-ES"/>
          <w14:ligatures w14:val="none"/>
        </w:rPr>
        <w:t xml:space="preserve">El tipo de interés, en su valor más alto desde noviembre </w:t>
      </w:r>
    </w:p>
    <w:p w14:paraId="64796E58" w14:textId="77777777" w:rsidR="00794E21" w:rsidRDefault="00794E21" w:rsidP="00676A7F">
      <w:pPr>
        <w:spacing w:after="0" w:line="240" w:lineRule="auto"/>
        <w:rPr>
          <w:rFonts w:ascii="Muli" w:hAnsi="Muli"/>
          <w:lang w:val="es-ES_tradnl"/>
        </w:rPr>
      </w:pPr>
    </w:p>
    <w:p w14:paraId="6FA955A8" w14:textId="312B3D9D" w:rsidR="00794E21" w:rsidRDefault="00794E21" w:rsidP="00676A7F">
      <w:pPr>
        <w:spacing w:after="0" w:line="240" w:lineRule="auto"/>
        <w:rPr>
          <w:rFonts w:ascii="Muli" w:hAnsi="Muli"/>
          <w:lang w:val="es-ES_tradnl"/>
        </w:rPr>
      </w:pPr>
      <w:r>
        <w:rPr>
          <w:rFonts w:ascii="Muli" w:hAnsi="Muli"/>
          <w:lang w:val="es-ES_tradnl"/>
        </w:rPr>
        <w:t xml:space="preserve">El tipo de interés medio en los préstamos para la vivienda se situó según el INE en abril en el 2,9%, por debajo del 2,84% en el mes de marzo, pero en su valor más alto desde el pasado mes de noviembre, cuando alcanzó el 2,97%. Así, se acumulan 15 meses consecutivos con una tasa inferior al 3%. El plazo medio firmado fue de 25 años. </w:t>
      </w:r>
    </w:p>
    <w:p w14:paraId="7EF6C687" w14:textId="77777777" w:rsidR="00794E21" w:rsidRDefault="00794E21" w:rsidP="00676A7F">
      <w:pPr>
        <w:spacing w:after="0" w:line="240" w:lineRule="auto"/>
        <w:rPr>
          <w:rFonts w:ascii="Muli" w:hAnsi="Muli"/>
          <w:lang w:val="es-ES_tradnl"/>
        </w:rPr>
      </w:pPr>
    </w:p>
    <w:p w14:paraId="7F1684D7" w14:textId="24EFCEAB" w:rsidR="00794E21" w:rsidRDefault="00794E21" w:rsidP="00676A7F">
      <w:pPr>
        <w:spacing w:after="0" w:line="240" w:lineRule="auto"/>
        <w:rPr>
          <w:rFonts w:ascii="Muli" w:hAnsi="Muli"/>
          <w:lang w:val="es-ES_tradnl"/>
        </w:rPr>
      </w:pPr>
      <w:r>
        <w:rPr>
          <w:rFonts w:ascii="Muli" w:hAnsi="Muli"/>
          <w:lang w:val="es-ES_tradnl"/>
        </w:rPr>
        <w:t xml:space="preserve">Por otro lado, el mercado sigue registrando una menor actividad en los cambios de sus condiciones al disminuir un 6,3% en tasa anual en, por ejemplo, novaciones o subrogaciones. Los cambios con la misma entidad financiera se redujeron un 15,8% y los cambios de entidad un 26,7%, lo que explica que los clientes están cómodos con sus actuales entidades. Por el contrario, las subrogaciones al deudor o cambio de titular aumentaron un 38,1%. Del 82,4% de las 9.837 hipotecas con cambios en sus </w:t>
      </w:r>
      <w:r>
        <w:rPr>
          <w:rFonts w:ascii="Muli" w:hAnsi="Muli"/>
          <w:lang w:val="es-ES_tradnl"/>
        </w:rPr>
        <w:lastRenderedPageBreak/>
        <w:t xml:space="preserve">condiciones se debieron a las modificaciones en los tipos de interés, lo que demuestra que es la principal preocupación de los usuarios. </w:t>
      </w:r>
    </w:p>
    <w:p w14:paraId="41B06F96" w14:textId="77777777" w:rsidR="00794E21" w:rsidRDefault="00794E21" w:rsidP="00676A7F">
      <w:pPr>
        <w:spacing w:after="0" w:line="240" w:lineRule="auto"/>
        <w:rPr>
          <w:rFonts w:ascii="Muli" w:hAnsi="Muli"/>
          <w:lang w:val="es-ES_tradnl"/>
        </w:rPr>
      </w:pPr>
    </w:p>
    <w:p w14:paraId="66C078BE" w14:textId="087F9A15" w:rsidR="00794E21" w:rsidRDefault="007B261B" w:rsidP="00676A7F">
      <w:pPr>
        <w:spacing w:after="0" w:line="240" w:lineRule="auto"/>
        <w:rPr>
          <w:rFonts w:ascii="Muli" w:hAnsi="Muli"/>
          <w:lang w:val="es-ES_tradnl"/>
        </w:rPr>
      </w:pPr>
      <w:r>
        <w:rPr>
          <w:rFonts w:ascii="Muli" w:hAnsi="Muli"/>
          <w:lang w:val="es-ES_tradnl"/>
        </w:rPr>
        <w:t xml:space="preserve">Por comunicades autónomas, </w:t>
      </w:r>
      <w:r w:rsidR="00794E21">
        <w:rPr>
          <w:rFonts w:ascii="Muli" w:hAnsi="Muli"/>
          <w:lang w:val="es-ES_tradnl"/>
        </w:rPr>
        <w:t xml:space="preserve">los mayores aumentos en la tasa de variación anual en el número de hipotecas sobre viviendas en abril se reflejan en Castilla-La mancha (18,7%), Cataluña (18,5%) y el Principado de Asturias (12,5%). En el lado opuesto las regiones que presentaron mayores descensos fueron Islas Baleares, donde el desplome llega al 23,9%, Comunidad Foral de Navarra (-20,9%) y Extremadura (-9,9%). </w:t>
      </w:r>
    </w:p>
    <w:p w14:paraId="6B8875A2" w14:textId="77777777" w:rsidR="00794E21" w:rsidRDefault="00794E21" w:rsidP="00676A7F">
      <w:pPr>
        <w:spacing w:after="0" w:line="240" w:lineRule="auto"/>
        <w:rPr>
          <w:rFonts w:ascii="Muli" w:hAnsi="Muli"/>
          <w:lang w:val="es-ES_tradnl"/>
        </w:rPr>
      </w:pPr>
    </w:p>
    <w:p w14:paraId="39AC00AE" w14:textId="76CABCDA" w:rsidR="00AB6375" w:rsidRPr="0014552F" w:rsidRDefault="00676A7F" w:rsidP="0014552F">
      <w:pPr>
        <w:spacing w:after="0" w:line="240" w:lineRule="auto"/>
        <w:rPr>
          <w:rFonts w:ascii="Muli" w:hAnsi="Muli"/>
        </w:rPr>
      </w:pPr>
      <w:r w:rsidRPr="0014552F">
        <w:rPr>
          <w:rFonts w:ascii="Muli" w:hAnsi="Muli"/>
          <w:lang w:val="es-ES_tradnl"/>
        </w:rPr>
        <w:t xml:space="preserve">Desde </w:t>
      </w:r>
      <w:r w:rsidR="0014552F" w:rsidRPr="0014552F">
        <w:rPr>
          <w:rFonts w:ascii="Muli" w:hAnsi="Muli"/>
        </w:rPr>
        <w:t xml:space="preserve">iAhorro prevemos para 2026 un año </w:t>
      </w:r>
      <w:r w:rsidR="00794E21">
        <w:rPr>
          <w:rFonts w:ascii="Muli" w:hAnsi="Muli"/>
        </w:rPr>
        <w:t xml:space="preserve">de normalización y salud hipotecaria en un momento en el que las entidades mantienen un ritmo estable de concesiones de crédito y compradores solventes, pero con la vista puesta en los cambios que se produzcan a nivel geoestratégico global y que pueda afectar a la inflación y por tanto a los tipos de interés. </w:t>
      </w:r>
    </w:p>
    <w:p w14:paraId="414C2763" w14:textId="77777777" w:rsidR="0014552F" w:rsidRDefault="0014552F" w:rsidP="0014552F">
      <w:pPr>
        <w:spacing w:after="0" w:line="240" w:lineRule="auto"/>
        <w:rPr>
          <w:rFonts w:ascii="Muli" w:hAnsi="Muli"/>
          <w:i/>
          <w:iCs/>
        </w:rPr>
      </w:pPr>
    </w:p>
    <w:p w14:paraId="24825CC3" w14:textId="77777777" w:rsidR="0014552F" w:rsidRPr="00676A7F" w:rsidRDefault="0014552F" w:rsidP="0014552F">
      <w:pPr>
        <w:spacing w:after="0" w:line="240" w:lineRule="auto"/>
      </w:pPr>
    </w:p>
    <w:p w14:paraId="1A6D20AE" w14:textId="77777777" w:rsidR="00063440" w:rsidRDefault="00063440" w:rsidP="00063440">
      <w:pPr>
        <w:rPr>
          <w:rStyle w:val="contentpasted0"/>
          <w:rFonts w:ascii="Muli" w:hAnsi="Muli"/>
          <w:color w:val="000000"/>
          <w:u w:val="single"/>
        </w:rPr>
      </w:pPr>
      <w:r>
        <w:rPr>
          <w:rStyle w:val="contentpasted0"/>
          <w:rFonts w:ascii="Muli" w:hAnsi="Muli"/>
          <w:color w:val="000000"/>
          <w:u w:val="single"/>
        </w:rPr>
        <w:t>Laura Martínez, portavoz de iAhorro.</w:t>
      </w:r>
    </w:p>
    <w:p w14:paraId="6C4524B5" w14:textId="77777777" w:rsidR="00063440" w:rsidRDefault="00063440" w:rsidP="00063440">
      <w:pPr>
        <w:rPr>
          <w:rStyle w:val="contentpasted0"/>
          <w:rFonts w:ascii="Muli" w:hAnsi="Muli"/>
          <w:color w:val="000000"/>
          <w:u w:val="single"/>
        </w:rPr>
      </w:pPr>
    </w:p>
    <w:p w14:paraId="339E2652" w14:textId="77777777" w:rsidR="00063440" w:rsidRDefault="00063440" w:rsidP="00063440">
      <w:pPr>
        <w:rPr>
          <w:rStyle w:val="contentpasted0"/>
          <w:rFonts w:ascii="Muli" w:hAnsi="Muli"/>
          <w:color w:val="000000"/>
          <w:lang w:val="es-ES_tradnl"/>
        </w:rPr>
      </w:pPr>
      <w:r>
        <w:rPr>
          <w:rStyle w:val="contentpasted0"/>
          <w:rFonts w:ascii="Muli" w:hAnsi="Muli"/>
          <w:b/>
          <w:bCs/>
          <w:color w:val="243962"/>
          <w:lang w:val="es-ES_tradnl"/>
        </w:rPr>
        <w:t xml:space="preserve">Si necesita más información o declaraciones en formato audiovisual: </w:t>
      </w:r>
      <w:r>
        <w:rPr>
          <w:rStyle w:val="contentpasted0"/>
          <w:rFonts w:ascii="Muli" w:hAnsi="Muli"/>
          <w:color w:val="000000"/>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1980"/>
        <w:gridCol w:w="2556"/>
        <w:gridCol w:w="2556"/>
      </w:tblGrid>
      <w:tr w:rsidR="00063440" w:rsidRPr="00063440" w14:paraId="1491773A" w14:textId="77777777" w:rsidTr="00063440">
        <w:trPr>
          <w:trHeight w:val="132"/>
        </w:trPr>
        <w:tc>
          <w:tcPr>
            <w:tcW w:w="1980" w:type="dxa"/>
            <w:tcMar>
              <w:top w:w="0" w:type="dxa"/>
              <w:left w:w="108" w:type="dxa"/>
              <w:bottom w:w="0" w:type="dxa"/>
              <w:right w:w="108" w:type="dxa"/>
            </w:tcMar>
            <w:vAlign w:val="center"/>
          </w:tcPr>
          <w:p w14:paraId="5530E749" w14:textId="7CD64DAA" w:rsidR="00063440" w:rsidRDefault="00063440" w:rsidP="00235CB5">
            <w:pPr>
              <w:spacing w:line="252" w:lineRule="auto"/>
              <w:rPr>
                <w:rFonts w:ascii="Aptos" w:hAnsi="Aptos" w:cs="Aptos"/>
                <w:b/>
                <w:bCs/>
                <w:sz w:val="18"/>
                <w:szCs w:val="18"/>
              </w:rPr>
            </w:pPr>
          </w:p>
        </w:tc>
        <w:tc>
          <w:tcPr>
            <w:tcW w:w="2556" w:type="dxa"/>
            <w:tcMar>
              <w:top w:w="0" w:type="dxa"/>
              <w:left w:w="108" w:type="dxa"/>
              <w:bottom w:w="0" w:type="dxa"/>
              <w:right w:w="108" w:type="dxa"/>
            </w:tcMar>
            <w:vAlign w:val="center"/>
          </w:tcPr>
          <w:p w14:paraId="426BD1F7" w14:textId="77777777" w:rsidR="00063440" w:rsidRPr="001431D8" w:rsidRDefault="00063440" w:rsidP="00235CB5">
            <w:pPr>
              <w:spacing w:line="252" w:lineRule="auto"/>
              <w:jc w:val="center"/>
              <w:rPr>
                <w:b/>
                <w:bCs/>
                <w:sz w:val="18"/>
                <w:szCs w:val="18"/>
              </w:rPr>
            </w:pPr>
          </w:p>
        </w:tc>
        <w:tc>
          <w:tcPr>
            <w:tcW w:w="2556" w:type="dxa"/>
            <w:tcMar>
              <w:top w:w="0" w:type="dxa"/>
              <w:left w:w="108" w:type="dxa"/>
              <w:bottom w:w="0" w:type="dxa"/>
              <w:right w:w="108" w:type="dxa"/>
            </w:tcMar>
            <w:vAlign w:val="center"/>
          </w:tcPr>
          <w:p w14:paraId="3D62DBA7" w14:textId="3FB731D8" w:rsidR="00063440" w:rsidRPr="001431D8" w:rsidRDefault="00063440" w:rsidP="00235CB5">
            <w:pPr>
              <w:spacing w:line="252" w:lineRule="auto"/>
              <w:rPr>
                <w:b/>
                <w:bCs/>
                <w:sz w:val="18"/>
                <w:szCs w:val="18"/>
              </w:rPr>
            </w:pPr>
          </w:p>
        </w:tc>
      </w:tr>
    </w:tbl>
    <w:p w14:paraId="6CFBFEDC" w14:textId="77777777" w:rsidR="00063440" w:rsidRPr="001431D8" w:rsidRDefault="00063440"/>
    <w:sectPr w:rsidR="00063440" w:rsidRPr="001431D8">
      <w:foot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B4058" w14:textId="77777777" w:rsidR="00265269" w:rsidRDefault="00265269" w:rsidP="00063440">
      <w:pPr>
        <w:spacing w:after="0" w:line="240" w:lineRule="auto"/>
      </w:pPr>
      <w:r>
        <w:separator/>
      </w:r>
    </w:p>
  </w:endnote>
  <w:endnote w:type="continuationSeparator" w:id="0">
    <w:p w14:paraId="2CC0450E" w14:textId="77777777" w:rsidR="00265269" w:rsidRDefault="00265269" w:rsidP="00063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uli">
    <w:altName w:val="Calibri"/>
    <w:panose1 w:val="020B0604020202020204"/>
    <w:charset w:val="00"/>
    <w:family w:val="auto"/>
    <w:pitch w:val="variable"/>
    <w:sig w:usb0="A00000FF" w:usb1="5000204B" w:usb2="00000000" w:usb3="00000000" w:csb0="00000193" w:csb1="00000000"/>
  </w:font>
  <w:font w:name="Montserrat">
    <w:panose1 w:val="000005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092" w:type="dxa"/>
      <w:tblCellMar>
        <w:left w:w="0" w:type="dxa"/>
        <w:right w:w="0" w:type="dxa"/>
      </w:tblCellMar>
      <w:tblLook w:val="04A0" w:firstRow="1" w:lastRow="0" w:firstColumn="1" w:lastColumn="0" w:noHBand="0" w:noVBand="1"/>
    </w:tblPr>
    <w:tblGrid>
      <w:gridCol w:w="2016"/>
      <w:gridCol w:w="2554"/>
      <w:gridCol w:w="2522"/>
    </w:tblGrid>
    <w:tr w:rsidR="00063440" w:rsidRPr="001431D8" w14:paraId="33BE72DA" w14:textId="77777777" w:rsidTr="0014552F">
      <w:trPr>
        <w:trHeight w:val="132"/>
      </w:trPr>
      <w:tc>
        <w:tcPr>
          <w:tcW w:w="1980" w:type="dxa"/>
          <w:tcMar>
            <w:top w:w="0" w:type="dxa"/>
            <w:left w:w="108" w:type="dxa"/>
            <w:bottom w:w="0" w:type="dxa"/>
            <w:right w:w="108" w:type="dxa"/>
          </w:tcMar>
          <w:vAlign w:val="center"/>
          <w:hideMark/>
        </w:tcPr>
        <w:p w14:paraId="48A523D3" w14:textId="77777777" w:rsidR="00063440" w:rsidRDefault="00063440" w:rsidP="00063440">
          <w:pPr>
            <w:spacing w:line="252" w:lineRule="auto"/>
            <w:rPr>
              <w:rFonts w:ascii="Aptos" w:hAnsi="Aptos" w:cs="Aptos"/>
              <w:b/>
              <w:bCs/>
              <w:sz w:val="18"/>
              <w:szCs w:val="18"/>
            </w:rPr>
          </w:pPr>
          <w:r>
            <w:rPr>
              <w:noProof/>
            </w:rPr>
            <w:drawing>
              <wp:inline distT="0" distB="0" distL="0" distR="0" wp14:anchorId="2C48D57C" wp14:editId="0132CA0C">
                <wp:extent cx="1143000" cy="565999"/>
                <wp:effectExtent l="0" t="0" r="0" b="0"/>
                <wp:docPr id="1332602733" name="Imagen 1" descr="Logotipo&#10;&#10;Descripción generada automáticamente">
                  <a:extLst xmlns:a="http://schemas.openxmlformats.org/drawingml/2006/main">
                    <a:ext uri="{FF2B5EF4-FFF2-40B4-BE49-F238E27FC236}">
                      <a16:creationId xmlns:a16="http://schemas.microsoft.com/office/drawing/2014/main" id="{2BA0CFD0-A3FD-445D-8C93-3548EA545D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025C2C20" w14:textId="77777777" w:rsidR="00063440" w:rsidRDefault="00063440" w:rsidP="00063440">
          <w:pPr>
            <w:spacing w:line="252" w:lineRule="auto"/>
            <w:jc w:val="center"/>
            <w:rPr>
              <w:b/>
              <w:bCs/>
              <w:sz w:val="18"/>
              <w:szCs w:val="18"/>
            </w:rPr>
          </w:pPr>
        </w:p>
        <w:p w14:paraId="25156C44" w14:textId="77777777" w:rsidR="00063440" w:rsidRDefault="00063440" w:rsidP="00063440">
          <w:pPr>
            <w:spacing w:line="252" w:lineRule="auto"/>
            <w:jc w:val="center"/>
            <w:rPr>
              <w:b/>
              <w:bCs/>
              <w:sz w:val="18"/>
              <w:szCs w:val="18"/>
            </w:rPr>
          </w:pPr>
        </w:p>
        <w:p w14:paraId="41E73FBA" w14:textId="77777777" w:rsidR="00063440" w:rsidRDefault="00063440" w:rsidP="00063440">
          <w:pPr>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2" w:history="1">
            <w:r w:rsidRPr="009D144E">
              <w:rPr>
                <w:rStyle w:val="Hipervnculo"/>
                <w:sz w:val="18"/>
                <w:szCs w:val="18"/>
              </w:rPr>
              <w:t>laura.martinez@iahorro.com</w:t>
            </w:r>
          </w:hyperlink>
        </w:p>
        <w:p w14:paraId="5F8496F0" w14:textId="77777777" w:rsidR="00063440" w:rsidRDefault="00063440" w:rsidP="00063440">
          <w:pPr>
            <w:spacing w:line="252" w:lineRule="auto"/>
            <w:jc w:val="center"/>
            <w:rPr>
              <w:b/>
              <w:bCs/>
              <w:sz w:val="18"/>
              <w:szCs w:val="18"/>
              <w:lang w:val="pt-PT"/>
            </w:rPr>
          </w:pPr>
        </w:p>
        <w:p w14:paraId="7C9F6341" w14:textId="77777777" w:rsidR="00063440" w:rsidRDefault="00063440" w:rsidP="00063440">
          <w:pPr>
            <w:spacing w:line="252" w:lineRule="auto"/>
            <w:jc w:val="center"/>
            <w:rPr>
              <w:b/>
              <w:bCs/>
              <w:sz w:val="18"/>
              <w:szCs w:val="18"/>
              <w:lang w:val="pt-PT"/>
            </w:rPr>
          </w:pPr>
        </w:p>
      </w:tc>
      <w:tc>
        <w:tcPr>
          <w:tcW w:w="2556" w:type="dxa"/>
          <w:tcMar>
            <w:top w:w="0" w:type="dxa"/>
            <w:left w:w="108" w:type="dxa"/>
            <w:bottom w:w="0" w:type="dxa"/>
            <w:right w:w="108" w:type="dxa"/>
          </w:tcMar>
          <w:vAlign w:val="center"/>
        </w:tcPr>
        <w:p w14:paraId="09AFAE4D" w14:textId="645AF777" w:rsidR="00063440" w:rsidRDefault="00063440" w:rsidP="00063440">
          <w:pPr>
            <w:spacing w:line="252" w:lineRule="auto"/>
            <w:rPr>
              <w:b/>
              <w:bCs/>
              <w:sz w:val="18"/>
              <w:szCs w:val="18"/>
              <w:lang w:val="pt-PT"/>
            </w:rPr>
          </w:pPr>
        </w:p>
      </w:tc>
    </w:tr>
  </w:tbl>
  <w:p w14:paraId="7B1050EC" w14:textId="77777777" w:rsidR="00063440" w:rsidRPr="00063440" w:rsidRDefault="00063440" w:rsidP="00063440">
    <w:pPr>
      <w:pStyle w:val="Piedepgina"/>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7BD85" w14:textId="77777777" w:rsidR="00265269" w:rsidRDefault="00265269" w:rsidP="00063440">
      <w:pPr>
        <w:spacing w:after="0" w:line="240" w:lineRule="auto"/>
      </w:pPr>
      <w:r>
        <w:separator/>
      </w:r>
    </w:p>
  </w:footnote>
  <w:footnote w:type="continuationSeparator" w:id="0">
    <w:p w14:paraId="05213983" w14:textId="77777777" w:rsidR="00265269" w:rsidRDefault="00265269" w:rsidP="000634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375"/>
    <w:rsid w:val="00063440"/>
    <w:rsid w:val="000E2EDD"/>
    <w:rsid w:val="000E3815"/>
    <w:rsid w:val="00142A50"/>
    <w:rsid w:val="001431D8"/>
    <w:rsid w:val="0014552F"/>
    <w:rsid w:val="00265269"/>
    <w:rsid w:val="00403394"/>
    <w:rsid w:val="00435CE1"/>
    <w:rsid w:val="00504B3D"/>
    <w:rsid w:val="00526F67"/>
    <w:rsid w:val="005D12F2"/>
    <w:rsid w:val="00676A7F"/>
    <w:rsid w:val="006E29BC"/>
    <w:rsid w:val="00794E21"/>
    <w:rsid w:val="007B261B"/>
    <w:rsid w:val="008E5F86"/>
    <w:rsid w:val="00904F73"/>
    <w:rsid w:val="00A266EC"/>
    <w:rsid w:val="00AB6375"/>
    <w:rsid w:val="00B754E8"/>
    <w:rsid w:val="00C358C7"/>
    <w:rsid w:val="00D101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5563E"/>
  <w15:chartTrackingRefBased/>
  <w15:docId w15:val="{2B758B21-0282-4769-9642-26B5AF38F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375"/>
  </w:style>
  <w:style w:type="paragraph" w:styleId="Ttulo1">
    <w:name w:val="heading 1"/>
    <w:basedOn w:val="Normal"/>
    <w:next w:val="Normal"/>
    <w:link w:val="Ttulo1Car"/>
    <w:uiPriority w:val="9"/>
    <w:qFormat/>
    <w:rsid w:val="00AB6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6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637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637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637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63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63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63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637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637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637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637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637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637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637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637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637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6375"/>
    <w:rPr>
      <w:rFonts w:eastAsiaTheme="majorEastAsia" w:cstheme="majorBidi"/>
      <w:color w:val="272727" w:themeColor="text1" w:themeTint="D8"/>
    </w:rPr>
  </w:style>
  <w:style w:type="paragraph" w:styleId="Ttulo">
    <w:name w:val="Title"/>
    <w:basedOn w:val="Normal"/>
    <w:next w:val="Normal"/>
    <w:link w:val="TtuloCar"/>
    <w:uiPriority w:val="10"/>
    <w:qFormat/>
    <w:rsid w:val="00AB6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B637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637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63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6375"/>
    <w:pPr>
      <w:spacing w:before="160"/>
      <w:jc w:val="center"/>
    </w:pPr>
    <w:rPr>
      <w:i/>
      <w:iCs/>
      <w:color w:val="404040" w:themeColor="text1" w:themeTint="BF"/>
    </w:rPr>
  </w:style>
  <w:style w:type="character" w:customStyle="1" w:styleId="CitaCar">
    <w:name w:val="Cita Car"/>
    <w:basedOn w:val="Fuentedeprrafopredeter"/>
    <w:link w:val="Cita"/>
    <w:uiPriority w:val="29"/>
    <w:rsid w:val="00AB6375"/>
    <w:rPr>
      <w:i/>
      <w:iCs/>
      <w:color w:val="404040" w:themeColor="text1" w:themeTint="BF"/>
    </w:rPr>
  </w:style>
  <w:style w:type="paragraph" w:styleId="Prrafodelista">
    <w:name w:val="List Paragraph"/>
    <w:basedOn w:val="Normal"/>
    <w:uiPriority w:val="34"/>
    <w:qFormat/>
    <w:rsid w:val="00AB6375"/>
    <w:pPr>
      <w:ind w:left="720"/>
      <w:contextualSpacing/>
    </w:pPr>
  </w:style>
  <w:style w:type="character" w:styleId="nfasisintenso">
    <w:name w:val="Intense Emphasis"/>
    <w:basedOn w:val="Fuentedeprrafopredeter"/>
    <w:uiPriority w:val="21"/>
    <w:qFormat/>
    <w:rsid w:val="00AB6375"/>
    <w:rPr>
      <w:i/>
      <w:iCs/>
      <w:color w:val="0F4761" w:themeColor="accent1" w:themeShade="BF"/>
    </w:rPr>
  </w:style>
  <w:style w:type="paragraph" w:styleId="Citadestacada">
    <w:name w:val="Intense Quote"/>
    <w:basedOn w:val="Normal"/>
    <w:next w:val="Normal"/>
    <w:link w:val="CitadestacadaCar"/>
    <w:uiPriority w:val="30"/>
    <w:qFormat/>
    <w:rsid w:val="00AB6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6375"/>
    <w:rPr>
      <w:i/>
      <w:iCs/>
      <w:color w:val="0F4761" w:themeColor="accent1" w:themeShade="BF"/>
    </w:rPr>
  </w:style>
  <w:style w:type="character" w:styleId="Referenciaintensa">
    <w:name w:val="Intense Reference"/>
    <w:basedOn w:val="Fuentedeprrafopredeter"/>
    <w:uiPriority w:val="32"/>
    <w:qFormat/>
    <w:rsid w:val="00AB6375"/>
    <w:rPr>
      <w:b/>
      <w:bCs/>
      <w:smallCaps/>
      <w:color w:val="0F4761" w:themeColor="accent1" w:themeShade="BF"/>
      <w:spacing w:val="5"/>
    </w:rPr>
  </w:style>
  <w:style w:type="character" w:customStyle="1" w:styleId="contentpasted0">
    <w:name w:val="contentpasted0"/>
    <w:basedOn w:val="Fuentedeprrafopredeter"/>
    <w:rsid w:val="00AB6375"/>
  </w:style>
  <w:style w:type="character" w:styleId="Hipervnculo">
    <w:name w:val="Hyperlink"/>
    <w:basedOn w:val="Fuentedeprrafopredeter"/>
    <w:uiPriority w:val="99"/>
    <w:unhideWhenUsed/>
    <w:rsid w:val="00063440"/>
    <w:rPr>
      <w:color w:val="0563C1"/>
      <w:u w:val="single"/>
    </w:rPr>
  </w:style>
  <w:style w:type="paragraph" w:styleId="Encabezado">
    <w:name w:val="header"/>
    <w:basedOn w:val="Normal"/>
    <w:link w:val="EncabezadoCar"/>
    <w:uiPriority w:val="99"/>
    <w:unhideWhenUsed/>
    <w:rsid w:val="000634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63440"/>
  </w:style>
  <w:style w:type="paragraph" w:styleId="Piedepgina">
    <w:name w:val="footer"/>
    <w:basedOn w:val="Normal"/>
    <w:link w:val="PiedepginaCar"/>
    <w:uiPriority w:val="99"/>
    <w:unhideWhenUsed/>
    <w:rsid w:val="000634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63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hyperlink" Target="mailto:laura.martinez@iahorr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2871</Characters>
  <Application>Microsoft Office Word</Application>
  <DocSecurity>0</DocSecurity>
  <Lines>23</Lines>
  <Paragraphs>6</Paragraphs>
  <ScaleCrop>false</ScaleCrop>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Martinez</dc:creator>
  <cp:keywords/>
  <dc:description/>
  <cp:lastModifiedBy>Marta García Bruno</cp:lastModifiedBy>
  <cp:revision>2</cp:revision>
  <dcterms:created xsi:type="dcterms:W3CDTF">2026-06-22T07:50:00Z</dcterms:created>
  <dcterms:modified xsi:type="dcterms:W3CDTF">2026-06-22T07:50:00Z</dcterms:modified>
</cp:coreProperties>
</file>