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3F39D" w14:textId="77777777" w:rsidR="00420DD7" w:rsidRDefault="00420DD7" w:rsidP="00420DD7">
      <w:pPr>
        <w:spacing w:after="160"/>
        <w:jc w:val="center"/>
        <w:rPr>
          <w:rFonts w:ascii="Times New Roman" w:hAnsi="Times New Roman" w:cs="Times New Roman"/>
          <w:color w:val="000000"/>
          <w:sz w:val="24"/>
          <w:szCs w:val="24"/>
        </w:rPr>
      </w:pPr>
      <w:bookmarkStart w:id="0" w:name="_Hlk203724381"/>
      <w:r>
        <w:rPr>
          <w:rStyle w:val="contentpasted0"/>
          <w:rFonts w:ascii="Muli" w:hAnsi="Muli"/>
          <w:b/>
          <w:bCs/>
          <w:color w:val="000000"/>
          <w:sz w:val="24"/>
          <w:szCs w:val="24"/>
        </w:rPr>
        <w:t>Análisis de los datos del INE, por Laura Martínez</w:t>
      </w:r>
    </w:p>
    <w:p w14:paraId="6E858D6C" w14:textId="2EFA4C63" w:rsidR="00420DD7" w:rsidRDefault="00420DD7" w:rsidP="00420DD7">
      <w:pPr>
        <w:jc w:val="center"/>
        <w:rPr>
          <w:rFonts w:ascii="Montserrat" w:hAnsi="Montserrat"/>
          <w:b/>
          <w:bCs/>
          <w:color w:val="243962"/>
          <w:sz w:val="32"/>
          <w:szCs w:val="32"/>
          <w:lang w:eastAsia="es-ES"/>
          <w14:ligatures w14:val="none"/>
        </w:rPr>
      </w:pPr>
      <w:r>
        <w:rPr>
          <w:rFonts w:ascii="Montserrat" w:hAnsi="Montserrat"/>
          <w:b/>
          <w:bCs/>
          <w:color w:val="243962"/>
          <w:sz w:val="32"/>
          <w:szCs w:val="32"/>
          <w:lang w:eastAsia="es-ES"/>
          <w14:ligatures w14:val="none"/>
        </w:rPr>
        <w:t>La firma de hipotecas en España sube un 6</w:t>
      </w:r>
      <w:r w:rsidR="00F97957">
        <w:rPr>
          <w:rFonts w:ascii="Montserrat" w:hAnsi="Montserrat"/>
          <w:b/>
          <w:bCs/>
          <w:color w:val="243962"/>
          <w:sz w:val="32"/>
          <w:szCs w:val="32"/>
          <w:lang w:eastAsia="es-ES"/>
          <w14:ligatures w14:val="none"/>
        </w:rPr>
        <w:t>,3</w:t>
      </w:r>
      <w:r>
        <w:rPr>
          <w:rFonts w:ascii="Montserrat" w:hAnsi="Montserrat"/>
          <w:b/>
          <w:bCs/>
          <w:color w:val="243962"/>
          <w:sz w:val="32"/>
          <w:szCs w:val="32"/>
          <w:lang w:eastAsia="es-ES"/>
          <w14:ligatures w14:val="none"/>
        </w:rPr>
        <w:t>%</w:t>
      </w:r>
      <w:r w:rsidR="00E85263">
        <w:rPr>
          <w:rFonts w:ascii="Montserrat" w:hAnsi="Montserrat"/>
          <w:b/>
          <w:bCs/>
          <w:color w:val="243962"/>
          <w:sz w:val="32"/>
          <w:szCs w:val="32"/>
          <w:lang w:eastAsia="es-ES"/>
          <w14:ligatures w14:val="none"/>
        </w:rPr>
        <w:t xml:space="preserve"> en enero</w:t>
      </w:r>
      <w:r>
        <w:rPr>
          <w:rFonts w:ascii="Montserrat" w:hAnsi="Montserrat"/>
          <w:b/>
          <w:bCs/>
          <w:color w:val="243962"/>
          <w:sz w:val="32"/>
          <w:szCs w:val="32"/>
          <w:lang w:eastAsia="es-ES"/>
          <w14:ligatures w14:val="none"/>
        </w:rPr>
        <w:t>, pero el mercado ya empieza a mostrar los primeros síntomas de ralentización, según el INE</w:t>
      </w:r>
    </w:p>
    <w:p w14:paraId="5ABDB86B" w14:textId="77777777" w:rsidR="00420DD7" w:rsidRDefault="00420DD7" w:rsidP="00420DD7">
      <w:pPr>
        <w:rPr>
          <w:rFonts w:ascii="Montserrat" w:hAnsi="Montserrat"/>
          <w:b/>
          <w:bCs/>
          <w:color w:val="243962"/>
          <w:sz w:val="32"/>
          <w:szCs w:val="32"/>
          <w:lang w:eastAsia="es-ES"/>
          <w14:ligatures w14:val="none"/>
        </w:rPr>
      </w:pPr>
    </w:p>
    <w:p w14:paraId="44E2BD38" w14:textId="77777777" w:rsidR="005E65C4" w:rsidRDefault="005E65C4" w:rsidP="00420DD7">
      <w:pPr>
        <w:rPr>
          <w:rFonts w:ascii="Montserrat" w:hAnsi="Montserrat"/>
          <w:b/>
          <w:bCs/>
          <w:color w:val="243962"/>
          <w:sz w:val="32"/>
          <w:szCs w:val="32"/>
          <w:lang w:eastAsia="es-ES"/>
          <w14:ligatures w14:val="none"/>
        </w:rPr>
      </w:pPr>
    </w:p>
    <w:p w14:paraId="3B58CB45" w14:textId="541A4656" w:rsidR="00420DD7" w:rsidRDefault="00420DD7" w:rsidP="00420DD7">
      <w:pPr>
        <w:rPr>
          <w:rFonts w:ascii="Muli" w:hAnsi="Muli"/>
          <w:sz w:val="24"/>
          <w:szCs w:val="24"/>
        </w:rPr>
      </w:pPr>
      <w:r w:rsidRPr="200BADFB">
        <w:rPr>
          <w:rFonts w:ascii="Muli" w:hAnsi="Muli"/>
          <w:sz w:val="24"/>
          <w:szCs w:val="24"/>
        </w:rPr>
        <w:t>Madrid</w:t>
      </w:r>
      <w:r>
        <w:rPr>
          <w:rFonts w:ascii="Muli" w:hAnsi="Muli"/>
          <w:sz w:val="24"/>
          <w:szCs w:val="24"/>
        </w:rPr>
        <w:t>, 24 de marzo de 2026</w:t>
      </w:r>
    </w:p>
    <w:p w14:paraId="587AED35" w14:textId="3BA9D36B" w:rsidR="00420DD7" w:rsidRDefault="00E30D27" w:rsidP="00420DD7">
      <w:pPr>
        <w:pStyle w:val="paragraph"/>
        <w:spacing w:before="240"/>
        <w:textAlignment w:val="baseline"/>
        <w:rPr>
          <w:rStyle w:val="normaltextrun"/>
          <w:rFonts w:ascii="Muli" w:hAnsi="Muli"/>
        </w:rPr>
      </w:pPr>
      <w:r>
        <w:rPr>
          <w:rStyle w:val="normaltextrun"/>
          <w:rFonts w:ascii="Muli" w:hAnsi="Muli"/>
        </w:rPr>
        <w:t>“</w:t>
      </w:r>
      <w:r w:rsidR="00420DD7" w:rsidRPr="00420DD7">
        <w:rPr>
          <w:rStyle w:val="normaltextrun"/>
          <w:rFonts w:ascii="Muli" w:hAnsi="Muli"/>
        </w:rPr>
        <w:t xml:space="preserve">El mercado hipotecario en España ha comenzado 2026 con buen pie, pero también con matices que conviene analizar con calma. Los últimos datos publicados </w:t>
      </w:r>
      <w:r w:rsidR="00420DD7">
        <w:rPr>
          <w:rStyle w:val="normaltextrun"/>
          <w:rFonts w:ascii="Muli" w:hAnsi="Muli"/>
        </w:rPr>
        <w:t xml:space="preserve">este martes 24 de marzo </w:t>
      </w:r>
      <w:r w:rsidR="00420DD7" w:rsidRPr="00420DD7">
        <w:rPr>
          <w:rStyle w:val="normaltextrun"/>
          <w:rFonts w:ascii="Muli" w:hAnsi="Muli"/>
        </w:rPr>
        <w:t xml:space="preserve">por el </w:t>
      </w:r>
      <w:r w:rsidR="00420DD7">
        <w:rPr>
          <w:rStyle w:val="normaltextrun"/>
          <w:rFonts w:ascii="Muli" w:hAnsi="Muli"/>
        </w:rPr>
        <w:t>Instituto Nacional de Estadística (</w:t>
      </w:r>
      <w:r w:rsidR="00420DD7" w:rsidRPr="00420DD7">
        <w:rPr>
          <w:rStyle w:val="normaltextrun"/>
          <w:rFonts w:ascii="Muli" w:hAnsi="Muli"/>
        </w:rPr>
        <w:t>INE</w:t>
      </w:r>
      <w:r w:rsidR="00420DD7">
        <w:rPr>
          <w:rStyle w:val="normaltextrun"/>
          <w:rFonts w:ascii="Muli" w:hAnsi="Muli"/>
        </w:rPr>
        <w:t>)</w:t>
      </w:r>
      <w:r w:rsidR="00420DD7" w:rsidRPr="00420DD7">
        <w:rPr>
          <w:rStyle w:val="normaltextrun"/>
          <w:rFonts w:ascii="Muli" w:hAnsi="Muli"/>
        </w:rPr>
        <w:t xml:space="preserve"> sobre la firma de hipotecas y las compraventas de vivienda </w:t>
      </w:r>
      <w:r w:rsidR="00420DD7">
        <w:rPr>
          <w:rStyle w:val="normaltextrun"/>
          <w:rFonts w:ascii="Muli" w:hAnsi="Muli"/>
        </w:rPr>
        <w:t xml:space="preserve">en nuestro país </w:t>
      </w:r>
      <w:r w:rsidR="00420DD7" w:rsidRPr="00420DD7">
        <w:rPr>
          <w:rStyle w:val="normaltextrun"/>
          <w:rFonts w:ascii="Muli" w:hAnsi="Muli"/>
        </w:rPr>
        <w:t>dibujan un escenario que, más que de crecimiento puro</w:t>
      </w:r>
      <w:r w:rsidR="00420DD7">
        <w:rPr>
          <w:rStyle w:val="normaltextrun"/>
          <w:rFonts w:ascii="Muli" w:hAnsi="Muli"/>
        </w:rPr>
        <w:t xml:space="preserve"> como el que vimos durante todo el año pasado</w:t>
      </w:r>
      <w:r w:rsidR="00420DD7" w:rsidRPr="00420DD7">
        <w:rPr>
          <w:rStyle w:val="normaltextrun"/>
          <w:rFonts w:ascii="Muli" w:hAnsi="Muli"/>
        </w:rPr>
        <w:t>, empieza a hablarnos de transición.</w:t>
      </w:r>
    </w:p>
    <w:p w14:paraId="5CB9ACD9" w14:textId="5B2D1D5D" w:rsidR="00420DD7" w:rsidRDefault="00420DD7" w:rsidP="00420DD7">
      <w:pPr>
        <w:pStyle w:val="paragraph"/>
        <w:spacing w:before="240"/>
        <w:textAlignment w:val="baseline"/>
        <w:rPr>
          <w:rFonts w:ascii="Muli" w:hAnsi="Muli"/>
        </w:rPr>
      </w:pPr>
      <w:r w:rsidRPr="00420DD7">
        <w:rPr>
          <w:rFonts w:ascii="Muli" w:hAnsi="Muli"/>
        </w:rPr>
        <w:t xml:space="preserve">En enero </w:t>
      </w:r>
      <w:r>
        <w:rPr>
          <w:rFonts w:ascii="Muli" w:hAnsi="Muli"/>
        </w:rPr>
        <w:t xml:space="preserve">de 2026 se firmaron en España </w:t>
      </w:r>
      <w:r w:rsidR="00550662">
        <w:rPr>
          <w:rFonts w:ascii="Muli" w:hAnsi="Muli"/>
        </w:rPr>
        <w:t xml:space="preserve">40.273 </w:t>
      </w:r>
      <w:r w:rsidRPr="00420DD7">
        <w:rPr>
          <w:rFonts w:ascii="Muli" w:hAnsi="Muli"/>
        </w:rPr>
        <w:t>hipotecas</w:t>
      </w:r>
      <w:r w:rsidR="00550662">
        <w:rPr>
          <w:rFonts w:ascii="Muli" w:hAnsi="Muli"/>
        </w:rPr>
        <w:t xml:space="preserve">, lo que supone un incremento de en torno al 6,3% respecto a las operaciones ejecutadas un año antes (37.890). Esto </w:t>
      </w:r>
      <w:r w:rsidRPr="00420DD7">
        <w:rPr>
          <w:rFonts w:ascii="Muli" w:hAnsi="Muli"/>
        </w:rPr>
        <w:t xml:space="preserve">confirma que el crédito sigue fluyendo y que los bancos mantienen su apuesta </w:t>
      </w:r>
      <w:r w:rsidR="00550662">
        <w:rPr>
          <w:rFonts w:ascii="Muli" w:hAnsi="Muli"/>
        </w:rPr>
        <w:t>por las hipotecas</w:t>
      </w:r>
      <w:r w:rsidRPr="00420DD7">
        <w:rPr>
          <w:rFonts w:ascii="Muli" w:hAnsi="Muli"/>
        </w:rPr>
        <w:t xml:space="preserve">. </w:t>
      </w:r>
      <w:r w:rsidR="00550662">
        <w:rPr>
          <w:rFonts w:ascii="Muli" w:hAnsi="Muli"/>
        </w:rPr>
        <w:t>Este crecimiento, aunque es mucho más leve que el que vimos en todo el tercer trimestre del año pasado, n</w:t>
      </w:r>
      <w:r w:rsidRPr="00420DD7">
        <w:rPr>
          <w:rFonts w:ascii="Muli" w:hAnsi="Muli"/>
        </w:rPr>
        <w:t xml:space="preserve">o es </w:t>
      </w:r>
      <w:r>
        <w:rPr>
          <w:rFonts w:ascii="Muli" w:hAnsi="Muli"/>
        </w:rPr>
        <w:t>una mala noticia:</w:t>
      </w:r>
      <w:r w:rsidRPr="00420DD7">
        <w:rPr>
          <w:rFonts w:ascii="Muli" w:hAnsi="Muli"/>
        </w:rPr>
        <w:t xml:space="preserve"> venimos de un 2025 especialmente intenso, en el que se superaron las 500.000 hipotecas</w:t>
      </w:r>
      <w:r>
        <w:rPr>
          <w:rFonts w:ascii="Muli" w:hAnsi="Muli"/>
        </w:rPr>
        <w:t xml:space="preserve"> firmadas en todo el ejercicio,</w:t>
      </w:r>
      <w:r w:rsidRPr="00420DD7">
        <w:rPr>
          <w:rFonts w:ascii="Muli" w:hAnsi="Muli"/>
        </w:rPr>
        <w:t xml:space="preserve"> una cifra que no veíamos desde hace más de una década</w:t>
      </w:r>
      <w:r>
        <w:rPr>
          <w:rFonts w:ascii="Muli" w:hAnsi="Muli"/>
        </w:rPr>
        <w:t xml:space="preserve">, desde el año 2010. </w:t>
      </w:r>
    </w:p>
    <w:p w14:paraId="3EB02E1B" w14:textId="701314BC" w:rsidR="00420DD7" w:rsidRDefault="00420DD7" w:rsidP="00420DD7">
      <w:pPr>
        <w:pStyle w:val="paragraph"/>
        <w:spacing w:before="240"/>
        <w:textAlignment w:val="baseline"/>
        <w:rPr>
          <w:rFonts w:ascii="Muli" w:hAnsi="Muli"/>
        </w:rPr>
      </w:pPr>
      <w:r w:rsidRPr="00420DD7">
        <w:rPr>
          <w:rFonts w:ascii="Muli" w:hAnsi="Muli"/>
        </w:rPr>
        <w:t>Sin embargo, el dato verdaderamente interesante no está solo en cuántas hipotecas se firman, sino en lo que ocurre en paralelo en el mercado inmobiliario. Y ahí es donde aparece el primer cambio de tendencia relevante: mientras las hipotecas crecen, las compraventas de vivienda</w:t>
      </w:r>
      <w:r>
        <w:rPr>
          <w:rFonts w:ascii="Muli" w:hAnsi="Muli"/>
        </w:rPr>
        <w:t xml:space="preserve"> realizadas en España</w:t>
      </w:r>
      <w:r w:rsidRPr="00420DD7">
        <w:rPr>
          <w:rFonts w:ascii="Muli" w:hAnsi="Muli"/>
        </w:rPr>
        <w:t xml:space="preserve"> caen en torno a un </w:t>
      </w:r>
      <w:r>
        <w:rPr>
          <w:rFonts w:ascii="Muli" w:hAnsi="Muli"/>
        </w:rPr>
        <w:t>5</w:t>
      </w:r>
      <w:r w:rsidRPr="00420DD7">
        <w:rPr>
          <w:rFonts w:ascii="Muli" w:hAnsi="Muli"/>
        </w:rPr>
        <w:t>% en enero</w:t>
      </w:r>
      <w:r>
        <w:rPr>
          <w:rFonts w:ascii="Muli" w:hAnsi="Muli"/>
        </w:rPr>
        <w:t xml:space="preserve"> respecto al mismo mes del año pasado: 57.489 frente a las 60.514 de enero de 2025. </w:t>
      </w:r>
      <w:r w:rsidRPr="00420DD7">
        <w:rPr>
          <w:rFonts w:ascii="Muli" w:hAnsi="Muli"/>
        </w:rPr>
        <w:t>Esta d</w:t>
      </w:r>
      <w:r>
        <w:rPr>
          <w:rFonts w:ascii="Muli" w:hAnsi="Muli"/>
        </w:rPr>
        <w:t>iferencia</w:t>
      </w:r>
      <w:r w:rsidRPr="00420DD7">
        <w:rPr>
          <w:rFonts w:ascii="Muli" w:hAnsi="Muli"/>
        </w:rPr>
        <w:t xml:space="preserve"> nos da una pista clara de hacia dónde se dirige el mercado. Durante 2025, compraventas e hipotecas crecían </w:t>
      </w:r>
      <w:r>
        <w:rPr>
          <w:rFonts w:ascii="Muli" w:hAnsi="Muli"/>
        </w:rPr>
        <w:t>prácticamente a</w:t>
      </w:r>
      <w:r w:rsidRPr="00420DD7">
        <w:rPr>
          <w:rFonts w:ascii="Muli" w:hAnsi="Muli"/>
        </w:rPr>
        <w:t>l mismo ritmo, impulsadas por una demanda muy fuerte y por la mejora de las condiciones de financiación. Ahora, en cambio, el número de operaciones se reduce, pero las que se cierran dependen más de la hipoteca.</w:t>
      </w:r>
    </w:p>
    <w:p w14:paraId="1D9527A7" w14:textId="31898301" w:rsidR="00F97957" w:rsidRPr="00F97957" w:rsidRDefault="00420DD7" w:rsidP="00F97957">
      <w:pPr>
        <w:pStyle w:val="paragraph"/>
        <w:spacing w:before="240"/>
        <w:textAlignment w:val="baseline"/>
        <w:rPr>
          <w:rFonts w:ascii="Muli" w:hAnsi="Muli"/>
        </w:rPr>
      </w:pPr>
      <w:r w:rsidRPr="00420DD7">
        <w:rPr>
          <w:rFonts w:ascii="Muli" w:hAnsi="Muli"/>
        </w:rPr>
        <w:t>Dicho de forma sencilla: se compran menos viviendas, pero quienes compran necesitan más financiación.</w:t>
      </w:r>
      <w:r>
        <w:rPr>
          <w:rFonts w:ascii="Muli" w:hAnsi="Muli"/>
        </w:rPr>
        <w:t xml:space="preserve"> </w:t>
      </w:r>
      <w:r w:rsidR="00F97957" w:rsidRPr="00F97957">
        <w:rPr>
          <w:rFonts w:ascii="Muli" w:hAnsi="Muli"/>
        </w:rPr>
        <w:t>¿A qué se debe esto? Principalmente a que comprar una vivienda es cada vez más difícil. Los precios han subido con fuerza en los últimos meses, y cada vez menos compradores pueden pagar sin financiación. Por eso, la hipoteca vuelve a ser clave.</w:t>
      </w:r>
      <w:r w:rsidR="00F97957">
        <w:rPr>
          <w:rFonts w:ascii="Muli" w:hAnsi="Muli"/>
        </w:rPr>
        <w:t xml:space="preserve"> </w:t>
      </w:r>
      <w:r w:rsidR="00F97957" w:rsidRPr="00F97957">
        <w:rPr>
          <w:rFonts w:ascii="Muli" w:hAnsi="Muli"/>
        </w:rPr>
        <w:t xml:space="preserve">A esto se suma el </w:t>
      </w:r>
      <w:r w:rsidR="00F97957">
        <w:rPr>
          <w:rFonts w:ascii="Muli" w:hAnsi="Muli"/>
        </w:rPr>
        <w:t xml:space="preserve">buen </w:t>
      </w:r>
      <w:r w:rsidR="00F97957" w:rsidRPr="00F97957">
        <w:rPr>
          <w:rFonts w:ascii="Muli" w:hAnsi="Muli"/>
        </w:rPr>
        <w:t>comportamiento de los tipos de interés. En enero, el euríbor estaba estable (2,245%), lo que daba cierta tranquilidad tanto a bancos como a compradores. De hecho, las condiciones eran bastante atractivas: según el INE, el tipo medio de las hipotecas fijas era del 2,8</w:t>
      </w:r>
      <w:r w:rsidR="00F97957">
        <w:rPr>
          <w:rFonts w:ascii="Muli" w:hAnsi="Muli"/>
        </w:rPr>
        <w:t>4</w:t>
      </w:r>
      <w:r w:rsidR="00F97957" w:rsidRPr="00F97957">
        <w:rPr>
          <w:rFonts w:ascii="Muli" w:hAnsi="Muli"/>
        </w:rPr>
        <w:t>%, aunque en la práctica</w:t>
      </w:r>
      <w:r w:rsidR="00F97957">
        <w:rPr>
          <w:rFonts w:ascii="Muli" w:hAnsi="Muli"/>
        </w:rPr>
        <w:t>, según datos recopilados por iAhorro ese mismo mes de enero, lo más habitual era</w:t>
      </w:r>
      <w:r w:rsidR="00F97957" w:rsidRPr="00F97957">
        <w:rPr>
          <w:rFonts w:ascii="Muli" w:hAnsi="Muli"/>
        </w:rPr>
        <w:t xml:space="preserve"> encontrar ofertas cercanas al 2,</w:t>
      </w:r>
      <w:r w:rsidR="00F97957">
        <w:rPr>
          <w:rFonts w:ascii="Muli" w:hAnsi="Muli"/>
        </w:rPr>
        <w:t>2</w:t>
      </w:r>
      <w:r w:rsidR="00F97957" w:rsidRPr="00F97957">
        <w:rPr>
          <w:rFonts w:ascii="Muli" w:hAnsi="Muli"/>
        </w:rPr>
        <w:t>% o 2,</w:t>
      </w:r>
      <w:r w:rsidR="00F97957">
        <w:rPr>
          <w:rFonts w:ascii="Muli" w:hAnsi="Muli"/>
        </w:rPr>
        <w:t>1</w:t>
      </w:r>
      <w:r w:rsidR="00F97957" w:rsidRPr="00F97957">
        <w:rPr>
          <w:rFonts w:ascii="Muli" w:hAnsi="Muli"/>
        </w:rPr>
        <w:t>% en algunos casos.</w:t>
      </w:r>
    </w:p>
    <w:p w14:paraId="4E7135B0" w14:textId="05725859" w:rsidR="00550662" w:rsidRPr="00550662" w:rsidRDefault="00550662" w:rsidP="00550662">
      <w:pPr>
        <w:pStyle w:val="paragraph"/>
        <w:spacing w:before="240"/>
        <w:textAlignment w:val="baseline"/>
        <w:rPr>
          <w:rFonts w:ascii="Muli" w:hAnsi="Muli"/>
        </w:rPr>
      </w:pPr>
      <w:r w:rsidRPr="00550662">
        <w:rPr>
          <w:rFonts w:ascii="Muli" w:hAnsi="Muli"/>
        </w:rPr>
        <w:t>En este contexto, no es extraño que la demanda hipotecaria se mant</w:t>
      </w:r>
      <w:r w:rsidR="00472A01">
        <w:rPr>
          <w:rFonts w:ascii="Muli" w:hAnsi="Muli"/>
        </w:rPr>
        <w:t xml:space="preserve">uviera </w:t>
      </w:r>
      <w:r w:rsidRPr="00550662">
        <w:rPr>
          <w:rFonts w:ascii="Muli" w:hAnsi="Muli"/>
        </w:rPr>
        <w:t>activa</w:t>
      </w:r>
      <w:r>
        <w:rPr>
          <w:rFonts w:ascii="Muli" w:hAnsi="Muli"/>
        </w:rPr>
        <w:t xml:space="preserve"> frente a las compraventas</w:t>
      </w:r>
      <w:r w:rsidRPr="00550662">
        <w:rPr>
          <w:rFonts w:ascii="Muli" w:hAnsi="Muli"/>
        </w:rPr>
        <w:t xml:space="preserve">. De hecho, lo que </w:t>
      </w:r>
      <w:r w:rsidR="00472A01">
        <w:rPr>
          <w:rFonts w:ascii="Muli" w:hAnsi="Muli"/>
        </w:rPr>
        <w:t>vemos</w:t>
      </w:r>
      <w:r w:rsidRPr="00550662">
        <w:rPr>
          <w:rFonts w:ascii="Muli" w:hAnsi="Muli"/>
        </w:rPr>
        <w:t xml:space="preserve"> es un cambio en el perfil del comprador: menos operaciones impulsivas o de inversión y más decisiones meditadas, en las que el acceso a financiación en buenas condiciones marca la diferencia entre comprar o no hacerlo.</w:t>
      </w:r>
    </w:p>
    <w:p w14:paraId="31DE05D3" w14:textId="77777777" w:rsidR="00472A01" w:rsidRPr="00472A01" w:rsidRDefault="00550662" w:rsidP="00472A01">
      <w:pPr>
        <w:pStyle w:val="paragraph"/>
        <w:spacing w:before="240"/>
        <w:textAlignment w:val="baseline"/>
        <w:rPr>
          <w:rFonts w:ascii="Muli" w:hAnsi="Muli"/>
        </w:rPr>
      </w:pPr>
      <w:r w:rsidRPr="00550662">
        <w:rPr>
          <w:rFonts w:ascii="Muli" w:hAnsi="Muli"/>
        </w:rPr>
        <w:t xml:space="preserve">A partir de aquí, la gran pregunta es qué pasará en los próximos meses. </w:t>
      </w:r>
      <w:r>
        <w:rPr>
          <w:rFonts w:ascii="Muli" w:hAnsi="Muli"/>
        </w:rPr>
        <w:t xml:space="preserve">Recordemos que en enero todavía no había estallado la guerra en Oriente Próximo y, por tanto, esto no había </w:t>
      </w:r>
      <w:r w:rsidR="00472A01">
        <w:rPr>
          <w:rFonts w:ascii="Muli" w:hAnsi="Muli"/>
        </w:rPr>
        <w:t>generado</w:t>
      </w:r>
      <w:r>
        <w:rPr>
          <w:rFonts w:ascii="Muli" w:hAnsi="Muli"/>
        </w:rPr>
        <w:t xml:space="preserve"> efectos</w:t>
      </w:r>
      <w:r w:rsidR="00472A01">
        <w:rPr>
          <w:rFonts w:ascii="Muli" w:hAnsi="Muli"/>
        </w:rPr>
        <w:t xml:space="preserve"> negativos</w:t>
      </w:r>
      <w:r>
        <w:rPr>
          <w:rFonts w:ascii="Muli" w:hAnsi="Muli"/>
        </w:rPr>
        <w:t xml:space="preserve"> en el mercado hipotecario e inmobiliario. </w:t>
      </w:r>
      <w:r w:rsidRPr="00550662">
        <w:rPr>
          <w:rFonts w:ascii="Muli" w:hAnsi="Muli"/>
        </w:rPr>
        <w:t>La experiencia</w:t>
      </w:r>
      <w:r>
        <w:rPr>
          <w:rFonts w:ascii="Muli" w:hAnsi="Muli"/>
        </w:rPr>
        <w:t xml:space="preserve"> (sobre todo tras lo ocurrido tras la invasión de Ucrania por parte de Rusia en 2022)</w:t>
      </w:r>
      <w:r w:rsidRPr="00550662">
        <w:rPr>
          <w:rFonts w:ascii="Muli" w:hAnsi="Muli"/>
        </w:rPr>
        <w:t xml:space="preserve"> </w:t>
      </w:r>
      <w:r w:rsidR="00472A01" w:rsidRPr="00472A01">
        <w:rPr>
          <w:rFonts w:ascii="Muli" w:hAnsi="Muli"/>
        </w:rPr>
        <w:t>nos dice que este tipo de situaciones genera incertidumbre económica: aumenta la volatilidad, empeoran las expectativas y los mercados reaccionan.</w:t>
      </w:r>
      <w:r w:rsidR="00472A01">
        <w:rPr>
          <w:rFonts w:ascii="Muli" w:hAnsi="Muli"/>
        </w:rPr>
        <w:t xml:space="preserve"> </w:t>
      </w:r>
      <w:r w:rsidR="00472A01" w:rsidRPr="00472A01">
        <w:rPr>
          <w:rFonts w:ascii="Muli" w:hAnsi="Muli"/>
        </w:rPr>
        <w:t>Y el mercado hipotecario también lo nota.</w:t>
      </w:r>
    </w:p>
    <w:p w14:paraId="5F81FCC8" w14:textId="6F934984" w:rsidR="00472A01" w:rsidRPr="00472A01" w:rsidRDefault="00472A01" w:rsidP="00472A01">
      <w:pPr>
        <w:pStyle w:val="paragraph"/>
        <w:spacing w:before="240"/>
        <w:textAlignment w:val="baseline"/>
        <w:rPr>
          <w:rFonts w:ascii="Muli" w:hAnsi="Muli"/>
        </w:rPr>
      </w:pPr>
      <w:r w:rsidRPr="00472A01">
        <w:rPr>
          <w:rFonts w:ascii="Muli" w:hAnsi="Muli"/>
        </w:rPr>
        <w:t>De hecho, ya estamos viendo los primeros efectos en los tipos de interés. El euríbor está subiendo</w:t>
      </w:r>
      <w:r>
        <w:rPr>
          <w:rFonts w:ascii="Muli" w:hAnsi="Muli"/>
        </w:rPr>
        <w:t xml:space="preserve"> cada día</w:t>
      </w:r>
      <w:r w:rsidRPr="00472A01">
        <w:rPr>
          <w:rFonts w:ascii="Muli" w:hAnsi="Muli"/>
        </w:rPr>
        <w:t xml:space="preserve"> y se acerca al 2,5% de media en marzo (</w:t>
      </w:r>
      <w:r>
        <w:rPr>
          <w:rFonts w:ascii="Muli" w:hAnsi="Muli"/>
        </w:rPr>
        <w:t xml:space="preserve">a falta de una semana para cerrar el mes está </w:t>
      </w:r>
      <w:r w:rsidRPr="00472A01">
        <w:rPr>
          <w:rFonts w:ascii="Muli" w:hAnsi="Muli"/>
        </w:rPr>
        <w:t>en el 2,451%). Además, los bancos empiezan a encarecer ligeramente sus ofertas hipotecarias.</w:t>
      </w:r>
      <w:r>
        <w:rPr>
          <w:rFonts w:ascii="Muli" w:hAnsi="Muli"/>
        </w:rPr>
        <w:t xml:space="preserve"> </w:t>
      </w:r>
      <w:r w:rsidRPr="00472A01">
        <w:rPr>
          <w:rFonts w:ascii="Muli" w:hAnsi="Muli"/>
        </w:rPr>
        <w:t>Todo esto influye en las decisiones de compra. Ante la incertidumbre, muchas familias prefieren esperar. Comprar una vivienda es una decisión a largo plazo, y en contextos como este es habitual que se retrase.</w:t>
      </w:r>
      <w:r w:rsidRPr="00472A01">
        <w:rPr>
          <w:rFonts w:eastAsia="Times New Roman"/>
        </w:rPr>
        <w:t xml:space="preserve"> </w:t>
      </w:r>
      <w:r w:rsidRPr="00472A01">
        <w:rPr>
          <w:rFonts w:ascii="Muli" w:hAnsi="Muli"/>
        </w:rPr>
        <w:t xml:space="preserve">Eso sí, estos cambios tardarán todavía un tiempo en reflejarse en las estadísticas del INE, que suelen ir </w:t>
      </w:r>
      <w:r>
        <w:rPr>
          <w:rFonts w:ascii="Muli" w:hAnsi="Muli"/>
        </w:rPr>
        <w:t xml:space="preserve">con un par de meses </w:t>
      </w:r>
      <w:r w:rsidRPr="00472A01">
        <w:rPr>
          <w:rFonts w:ascii="Muli" w:hAnsi="Muli"/>
        </w:rPr>
        <w:t>de retraso</w:t>
      </w:r>
      <w:r>
        <w:rPr>
          <w:rFonts w:ascii="Muli" w:hAnsi="Muli"/>
        </w:rPr>
        <w:t xml:space="preserve"> (los datos de marzo no los tendremos hasta mayo)</w:t>
      </w:r>
      <w:r w:rsidRPr="00472A01">
        <w:rPr>
          <w:rFonts w:ascii="Muli" w:hAnsi="Muli"/>
        </w:rPr>
        <w:t>. Aun así, ya hay señales que apuntan a</w:t>
      </w:r>
      <w:r>
        <w:rPr>
          <w:rFonts w:ascii="Muli" w:hAnsi="Muli"/>
        </w:rPr>
        <w:t xml:space="preserve"> que veremos entonces</w:t>
      </w:r>
      <w:r w:rsidRPr="00472A01">
        <w:rPr>
          <w:rFonts w:ascii="Muli" w:hAnsi="Muli"/>
        </w:rPr>
        <w:t xml:space="preserve"> un cambio de tendencia.</w:t>
      </w:r>
    </w:p>
    <w:p w14:paraId="5014BF8F" w14:textId="651C6295" w:rsidR="00472A01" w:rsidRPr="00472A01" w:rsidRDefault="00472A01" w:rsidP="00472A01">
      <w:pPr>
        <w:rPr>
          <w:rFonts w:ascii="Muli" w:hAnsi="Muli" w:cs="Times New Roman"/>
          <w:sz w:val="24"/>
          <w:szCs w:val="24"/>
          <w:lang w:eastAsia="es-ES"/>
          <w14:ligatures w14:val="none"/>
        </w:rPr>
      </w:pPr>
      <w:r w:rsidRPr="00472A01">
        <w:rPr>
          <w:rFonts w:ascii="Muli" w:hAnsi="Muli" w:cs="Times New Roman"/>
          <w:sz w:val="24"/>
          <w:szCs w:val="24"/>
          <w:lang w:eastAsia="es-ES"/>
          <w14:ligatures w14:val="none"/>
        </w:rPr>
        <w:t xml:space="preserve">Por eso, más que un frenazo, lo que cabe esperar es una desaceleración progresiva del mercado. La actividad continuará, pero en un entorno más exigente: compradores más prudentes, bancos algo más selectivos y condiciones de financiación menos favorables que a comienzos de año. Eso sí, habrá que ver cómo evoluciona el conflicto y si se prolonga en el tiempo, para poder valorar hasta qué punto </w:t>
      </w:r>
      <w:r>
        <w:rPr>
          <w:rFonts w:ascii="Muli" w:hAnsi="Muli" w:cs="Times New Roman"/>
          <w:sz w:val="24"/>
          <w:szCs w:val="24"/>
          <w:lang w:eastAsia="es-ES"/>
          <w14:ligatures w14:val="none"/>
        </w:rPr>
        <w:t>esta</w:t>
      </w:r>
      <w:r w:rsidRPr="00472A01">
        <w:rPr>
          <w:rFonts w:ascii="Muli" w:hAnsi="Muli" w:cs="Times New Roman"/>
          <w:sz w:val="24"/>
          <w:szCs w:val="24"/>
          <w:lang w:eastAsia="es-ES"/>
          <w14:ligatures w14:val="none"/>
        </w:rPr>
        <w:t xml:space="preserve"> incertidumbre se consolida o si, por el contrario, se trata de un impacto puntual. De ello dependerá en gran medida la evolución de los tipos de interés, la confianza de los compradores y, en última instancia, el ritmo de actividad del mercad</w:t>
      </w:r>
      <w:r>
        <w:rPr>
          <w:rFonts w:ascii="Muli" w:hAnsi="Muli" w:cs="Times New Roman"/>
          <w:sz w:val="24"/>
          <w:szCs w:val="24"/>
          <w:lang w:eastAsia="es-ES"/>
          <w14:ligatures w14:val="none"/>
        </w:rPr>
        <w:t>o hipotecario</w:t>
      </w:r>
      <w:r w:rsidR="00E30D27">
        <w:rPr>
          <w:rFonts w:ascii="Muli" w:hAnsi="Muli" w:cs="Times New Roman"/>
          <w:sz w:val="24"/>
          <w:szCs w:val="24"/>
          <w:lang w:eastAsia="es-ES"/>
          <w14:ligatures w14:val="none"/>
        </w:rPr>
        <w:t>”</w:t>
      </w:r>
      <w:r>
        <w:rPr>
          <w:rFonts w:ascii="Muli" w:hAnsi="Muli" w:cs="Times New Roman"/>
          <w:sz w:val="24"/>
          <w:szCs w:val="24"/>
          <w:lang w:eastAsia="es-ES"/>
          <w14:ligatures w14:val="none"/>
        </w:rPr>
        <w:t>.</w:t>
      </w:r>
    </w:p>
    <w:p w14:paraId="6E496D11" w14:textId="77777777" w:rsidR="00472A01" w:rsidRDefault="00472A01" w:rsidP="00472A01">
      <w:pPr>
        <w:rPr>
          <w:rFonts w:ascii="Muli" w:hAnsi="Muli" w:cs="Times New Roman"/>
          <w:sz w:val="24"/>
          <w:szCs w:val="24"/>
          <w:lang w:eastAsia="es-ES"/>
          <w14:ligatures w14:val="none"/>
        </w:rPr>
      </w:pPr>
    </w:p>
    <w:p w14:paraId="44F25BCE" w14:textId="77777777" w:rsidR="00472A01" w:rsidRPr="00472A01" w:rsidRDefault="00472A01" w:rsidP="00472A01">
      <w:pPr>
        <w:rPr>
          <w:rFonts w:ascii="Muli" w:hAnsi="Muli" w:cs="Times New Roman"/>
          <w:sz w:val="24"/>
          <w:szCs w:val="24"/>
          <w:lang w:eastAsia="es-ES"/>
          <w14:ligatures w14:val="none"/>
        </w:rPr>
      </w:pPr>
    </w:p>
    <w:p w14:paraId="6A6011B1" w14:textId="301D07D7" w:rsidR="00420DD7" w:rsidRDefault="00420DD7" w:rsidP="00420DD7">
      <w:pPr>
        <w:rPr>
          <w:rStyle w:val="contentpasted0"/>
          <w:rFonts w:ascii="Muli" w:hAnsi="Muli"/>
          <w:color w:val="000000"/>
          <w:u w:val="single"/>
        </w:rPr>
      </w:pPr>
      <w:r>
        <w:rPr>
          <w:rStyle w:val="contentpasted0"/>
          <w:rFonts w:ascii="Muli" w:hAnsi="Muli"/>
          <w:color w:val="000000"/>
          <w:u w:val="single"/>
        </w:rPr>
        <w:t>Laura Martínez, portavoz de iAhorro.</w:t>
      </w:r>
    </w:p>
    <w:p w14:paraId="0293AE43" w14:textId="77777777" w:rsidR="00420DD7" w:rsidRDefault="00420DD7" w:rsidP="00420DD7">
      <w:pPr>
        <w:rPr>
          <w:rStyle w:val="contentpasted0"/>
          <w:rFonts w:ascii="Muli" w:hAnsi="Muli"/>
          <w:color w:val="000000"/>
          <w:u w:val="single"/>
        </w:rPr>
      </w:pPr>
    </w:p>
    <w:p w14:paraId="7690F696" w14:textId="77777777" w:rsidR="00420DD7" w:rsidRDefault="00420DD7" w:rsidP="00420DD7">
      <w:pPr>
        <w:rPr>
          <w:rStyle w:val="contentpasted0"/>
          <w:rFonts w:ascii="Muli" w:hAnsi="Muli"/>
          <w:color w:val="000000"/>
          <w:u w:val="single"/>
        </w:rPr>
      </w:pPr>
    </w:p>
    <w:p w14:paraId="3250C5D1" w14:textId="77777777" w:rsidR="00420DD7" w:rsidRDefault="00420DD7" w:rsidP="00420DD7">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3"/>
        <w:gridCol w:w="2533"/>
      </w:tblGrid>
      <w:tr w:rsidR="00420DD7" w:rsidRPr="00AF342D" w14:paraId="3C93C6DB" w14:textId="77777777">
        <w:trPr>
          <w:trHeight w:val="132"/>
        </w:trPr>
        <w:tc>
          <w:tcPr>
            <w:tcW w:w="1980" w:type="dxa"/>
            <w:tcMar>
              <w:top w:w="0" w:type="dxa"/>
              <w:left w:w="108" w:type="dxa"/>
              <w:bottom w:w="0" w:type="dxa"/>
              <w:right w:w="108" w:type="dxa"/>
            </w:tcMar>
            <w:vAlign w:val="center"/>
            <w:hideMark/>
          </w:tcPr>
          <w:p w14:paraId="5FC1ADED" w14:textId="77777777" w:rsidR="00420DD7" w:rsidRDefault="00420DD7">
            <w:pPr>
              <w:spacing w:line="252" w:lineRule="auto"/>
              <w:rPr>
                <w:rFonts w:ascii="Aptos" w:hAnsi="Aptos" w:cs="Aptos"/>
                <w:b/>
                <w:bCs/>
                <w:sz w:val="18"/>
                <w:szCs w:val="18"/>
              </w:rPr>
            </w:pPr>
            <w:r>
              <w:rPr>
                <w:noProof/>
              </w:rPr>
              <w:drawing>
                <wp:inline distT="0" distB="0" distL="0" distR="0" wp14:anchorId="4786E285" wp14:editId="1CACDAAA">
                  <wp:extent cx="1143000" cy="565999"/>
                  <wp:effectExtent l="0" t="0" r="0" b="0"/>
                  <wp:docPr id="1332602733" name="Imagen 1" descr="Logotipo&#10;&#10;Descripción generada automáticamente">
                    <a:extLst xmlns:a="http://schemas.openxmlformats.org/drawingml/2006/main">
                      <a:ext uri="{FF2B5EF4-FFF2-40B4-BE49-F238E27FC236}">
                        <a16:creationId xmlns:a16="http://schemas.microsoft.com/office/drawing/2014/main" id="{2BA0CFD0-A3FD-445D-8C93-3548EA545D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7">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243A567C" w14:textId="77777777" w:rsidR="00420DD7" w:rsidRDefault="00420DD7">
            <w:pPr>
              <w:spacing w:line="252" w:lineRule="auto"/>
              <w:jc w:val="center"/>
              <w:rPr>
                <w:b/>
                <w:bCs/>
                <w:sz w:val="18"/>
                <w:szCs w:val="18"/>
              </w:rPr>
            </w:pPr>
          </w:p>
          <w:p w14:paraId="6D149069" w14:textId="77777777" w:rsidR="00420DD7" w:rsidRDefault="00420DD7">
            <w:pPr>
              <w:spacing w:line="252" w:lineRule="auto"/>
              <w:jc w:val="center"/>
              <w:rPr>
                <w:b/>
                <w:bCs/>
                <w:sz w:val="18"/>
                <w:szCs w:val="18"/>
              </w:rPr>
            </w:pPr>
          </w:p>
          <w:p w14:paraId="48F50348" w14:textId="77777777" w:rsidR="00420DD7" w:rsidRDefault="00420DD7">
            <w:pPr>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8" w:history="1">
              <w:r w:rsidRPr="009D144E">
                <w:rPr>
                  <w:rStyle w:val="Hyperlink"/>
                  <w:sz w:val="18"/>
                  <w:szCs w:val="18"/>
                </w:rPr>
                <w:t>laura.martinez@iahorro.com</w:t>
              </w:r>
            </w:hyperlink>
          </w:p>
          <w:p w14:paraId="7A8BB3CD" w14:textId="77777777" w:rsidR="00420DD7" w:rsidRDefault="00420DD7">
            <w:pPr>
              <w:spacing w:line="252" w:lineRule="auto"/>
              <w:jc w:val="center"/>
              <w:rPr>
                <w:b/>
                <w:bCs/>
                <w:sz w:val="18"/>
                <w:szCs w:val="18"/>
                <w:lang w:val="pt-PT"/>
              </w:rPr>
            </w:pPr>
          </w:p>
          <w:p w14:paraId="5C7DA6B9" w14:textId="77777777" w:rsidR="00420DD7" w:rsidRDefault="00420DD7">
            <w:pPr>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5B71ECBC" w14:textId="77777777" w:rsidR="00420DD7" w:rsidRDefault="00420DD7">
            <w:pPr>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9" w:history="1">
              <w:r>
                <w:rPr>
                  <w:rStyle w:val="Hyperlink"/>
                  <w:sz w:val="18"/>
                  <w:szCs w:val="18"/>
                  <w:lang w:val="pt-PT"/>
                </w:rPr>
                <w:t>noelia.perez@iahorro.com</w:t>
              </w:r>
            </w:hyperlink>
          </w:p>
        </w:tc>
      </w:tr>
      <w:bookmarkEnd w:id="0"/>
    </w:tbl>
    <w:p w14:paraId="0C40A23E" w14:textId="77777777" w:rsidR="00420DD7" w:rsidRDefault="00420DD7" w:rsidP="00420DD7"/>
    <w:p w14:paraId="51D13461" w14:textId="77777777" w:rsidR="00381D98" w:rsidRDefault="00381D98"/>
    <w:sectPr w:rsidR="00381D98" w:rsidSect="00E30D27">
      <w:pgSz w:w="11906" w:h="16838"/>
      <w:pgMar w:top="1417" w:right="1701" w:bottom="1417"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FA8E2" w14:textId="77777777" w:rsidR="006642B8" w:rsidRDefault="006642B8" w:rsidP="00E30D27">
      <w:r>
        <w:separator/>
      </w:r>
    </w:p>
  </w:endnote>
  <w:endnote w:type="continuationSeparator" w:id="0">
    <w:p w14:paraId="18916A36" w14:textId="77777777" w:rsidR="006642B8" w:rsidRDefault="006642B8" w:rsidP="00E3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Muli">
    <w:altName w:val="Calibri"/>
    <w:charset w:val="00"/>
    <w:family w:val="auto"/>
    <w:pitch w:val="variable"/>
    <w:sig w:usb0="A00000FF" w:usb1="5000204B" w:usb2="00000000" w:usb3="00000000" w:csb0="00000193" w:csb1="00000000"/>
  </w:font>
  <w:font w:name="Montserrat">
    <w:altName w:val="Calibri"/>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CD6FE" w14:textId="77777777" w:rsidR="006642B8" w:rsidRDefault="006642B8" w:rsidP="00E30D27">
      <w:r>
        <w:separator/>
      </w:r>
    </w:p>
  </w:footnote>
  <w:footnote w:type="continuationSeparator" w:id="0">
    <w:p w14:paraId="333A08B6" w14:textId="77777777" w:rsidR="006642B8" w:rsidRDefault="006642B8" w:rsidP="00E30D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C3F8B"/>
    <w:multiLevelType w:val="hybridMultilevel"/>
    <w:tmpl w:val="6B9E24BC"/>
    <w:lvl w:ilvl="0" w:tplc="78FCE130">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59277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DD7"/>
    <w:rsid w:val="0014369C"/>
    <w:rsid w:val="001B0F85"/>
    <w:rsid w:val="002C0D7B"/>
    <w:rsid w:val="002F331E"/>
    <w:rsid w:val="00381D98"/>
    <w:rsid w:val="00420DD7"/>
    <w:rsid w:val="00472A01"/>
    <w:rsid w:val="004F76A9"/>
    <w:rsid w:val="005504FB"/>
    <w:rsid w:val="00550662"/>
    <w:rsid w:val="005512EF"/>
    <w:rsid w:val="005E65C4"/>
    <w:rsid w:val="006642B8"/>
    <w:rsid w:val="00A4040C"/>
    <w:rsid w:val="00AB6691"/>
    <w:rsid w:val="00DF4714"/>
    <w:rsid w:val="00E30D27"/>
    <w:rsid w:val="00E7321C"/>
    <w:rsid w:val="00E85263"/>
    <w:rsid w:val="00ED426F"/>
    <w:rsid w:val="00F979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251D"/>
  <w15:chartTrackingRefBased/>
  <w15:docId w15:val="{F2220945-AB61-412F-8979-8A896BD3E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DD7"/>
    <w:pPr>
      <w:spacing w:after="0" w:line="240" w:lineRule="auto"/>
    </w:pPr>
    <w:rPr>
      <w:rFonts w:ascii="Calibri" w:hAnsi="Calibri" w:cs="Calibri"/>
      <w14:ligatures w14:val="standardContextual"/>
    </w:rPr>
  </w:style>
  <w:style w:type="paragraph" w:styleId="Heading1">
    <w:name w:val="heading 1"/>
    <w:basedOn w:val="Normal"/>
    <w:next w:val="Normal"/>
    <w:link w:val="Heading1Char"/>
    <w:uiPriority w:val="9"/>
    <w:qFormat/>
    <w:rsid w:val="00420D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D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D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D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D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D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D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D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D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D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D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D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D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D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D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D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D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DD7"/>
    <w:rPr>
      <w:rFonts w:eastAsiaTheme="majorEastAsia" w:cstheme="majorBidi"/>
      <w:color w:val="272727" w:themeColor="text1" w:themeTint="D8"/>
    </w:rPr>
  </w:style>
  <w:style w:type="paragraph" w:styleId="Title">
    <w:name w:val="Title"/>
    <w:basedOn w:val="Normal"/>
    <w:next w:val="Normal"/>
    <w:link w:val="TitleChar"/>
    <w:uiPriority w:val="10"/>
    <w:qFormat/>
    <w:rsid w:val="00420D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D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D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D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DD7"/>
    <w:pPr>
      <w:spacing w:before="160"/>
      <w:jc w:val="center"/>
    </w:pPr>
    <w:rPr>
      <w:i/>
      <w:iCs/>
      <w:color w:val="404040" w:themeColor="text1" w:themeTint="BF"/>
    </w:rPr>
  </w:style>
  <w:style w:type="character" w:customStyle="1" w:styleId="QuoteChar">
    <w:name w:val="Quote Char"/>
    <w:basedOn w:val="DefaultParagraphFont"/>
    <w:link w:val="Quote"/>
    <w:uiPriority w:val="29"/>
    <w:rsid w:val="00420DD7"/>
    <w:rPr>
      <w:i/>
      <w:iCs/>
      <w:color w:val="404040" w:themeColor="text1" w:themeTint="BF"/>
    </w:rPr>
  </w:style>
  <w:style w:type="paragraph" w:styleId="ListParagraph">
    <w:name w:val="List Paragraph"/>
    <w:basedOn w:val="Normal"/>
    <w:uiPriority w:val="34"/>
    <w:qFormat/>
    <w:rsid w:val="00420DD7"/>
    <w:pPr>
      <w:ind w:left="720"/>
      <w:contextualSpacing/>
    </w:pPr>
  </w:style>
  <w:style w:type="character" w:styleId="IntenseEmphasis">
    <w:name w:val="Intense Emphasis"/>
    <w:basedOn w:val="DefaultParagraphFont"/>
    <w:uiPriority w:val="21"/>
    <w:qFormat/>
    <w:rsid w:val="00420DD7"/>
    <w:rPr>
      <w:i/>
      <w:iCs/>
      <w:color w:val="0F4761" w:themeColor="accent1" w:themeShade="BF"/>
    </w:rPr>
  </w:style>
  <w:style w:type="paragraph" w:styleId="IntenseQuote">
    <w:name w:val="Intense Quote"/>
    <w:basedOn w:val="Normal"/>
    <w:next w:val="Normal"/>
    <w:link w:val="IntenseQuoteChar"/>
    <w:uiPriority w:val="30"/>
    <w:qFormat/>
    <w:rsid w:val="00420D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DD7"/>
    <w:rPr>
      <w:i/>
      <w:iCs/>
      <w:color w:val="0F4761" w:themeColor="accent1" w:themeShade="BF"/>
    </w:rPr>
  </w:style>
  <w:style w:type="character" w:styleId="IntenseReference">
    <w:name w:val="Intense Reference"/>
    <w:basedOn w:val="DefaultParagraphFont"/>
    <w:uiPriority w:val="32"/>
    <w:qFormat/>
    <w:rsid w:val="00420DD7"/>
    <w:rPr>
      <w:b/>
      <w:bCs/>
      <w:smallCaps/>
      <w:color w:val="0F4761" w:themeColor="accent1" w:themeShade="BF"/>
      <w:spacing w:val="5"/>
    </w:rPr>
  </w:style>
  <w:style w:type="character" w:customStyle="1" w:styleId="contentpasted0">
    <w:name w:val="contentpasted0"/>
    <w:basedOn w:val="DefaultParagraphFont"/>
    <w:rsid w:val="00420DD7"/>
  </w:style>
  <w:style w:type="paragraph" w:customStyle="1" w:styleId="paragraph">
    <w:name w:val="paragraph"/>
    <w:basedOn w:val="Normal"/>
    <w:rsid w:val="00420DD7"/>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DefaultParagraphFont"/>
    <w:rsid w:val="00420DD7"/>
  </w:style>
  <w:style w:type="character" w:styleId="Hyperlink">
    <w:name w:val="Hyperlink"/>
    <w:basedOn w:val="DefaultParagraphFont"/>
    <w:uiPriority w:val="99"/>
    <w:unhideWhenUsed/>
    <w:rsid w:val="00420DD7"/>
    <w:rPr>
      <w:color w:val="0563C1"/>
      <w:u w:val="single"/>
    </w:rPr>
  </w:style>
  <w:style w:type="paragraph" w:styleId="NormalWeb">
    <w:name w:val="Normal (Web)"/>
    <w:basedOn w:val="Normal"/>
    <w:uiPriority w:val="99"/>
    <w:semiHidden/>
    <w:unhideWhenUsed/>
    <w:rsid w:val="00420DD7"/>
    <w:rPr>
      <w:rFonts w:ascii="Times New Roman" w:hAnsi="Times New Roman" w:cs="Times New Roman"/>
      <w:sz w:val="24"/>
      <w:szCs w:val="24"/>
    </w:rPr>
  </w:style>
  <w:style w:type="paragraph" w:styleId="Header">
    <w:name w:val="header"/>
    <w:basedOn w:val="Normal"/>
    <w:link w:val="HeaderChar"/>
    <w:uiPriority w:val="99"/>
    <w:unhideWhenUsed/>
    <w:rsid w:val="00E30D27"/>
    <w:pPr>
      <w:tabs>
        <w:tab w:val="center" w:pos="4252"/>
        <w:tab w:val="right" w:pos="8504"/>
      </w:tabs>
    </w:pPr>
  </w:style>
  <w:style w:type="character" w:customStyle="1" w:styleId="HeaderChar">
    <w:name w:val="Header Char"/>
    <w:basedOn w:val="DefaultParagraphFont"/>
    <w:link w:val="Header"/>
    <w:uiPriority w:val="99"/>
    <w:rsid w:val="00E30D27"/>
    <w:rPr>
      <w:rFonts w:ascii="Calibri" w:hAnsi="Calibri" w:cs="Calibri"/>
      <w14:ligatures w14:val="standardContextual"/>
    </w:rPr>
  </w:style>
  <w:style w:type="paragraph" w:styleId="Footer">
    <w:name w:val="footer"/>
    <w:basedOn w:val="Normal"/>
    <w:link w:val="FooterChar"/>
    <w:uiPriority w:val="99"/>
    <w:unhideWhenUsed/>
    <w:rsid w:val="00E30D27"/>
    <w:pPr>
      <w:tabs>
        <w:tab w:val="center" w:pos="4252"/>
        <w:tab w:val="right" w:pos="8504"/>
      </w:tabs>
    </w:pPr>
  </w:style>
  <w:style w:type="character" w:customStyle="1" w:styleId="FooterChar">
    <w:name w:val="Footer Char"/>
    <w:basedOn w:val="DefaultParagraphFont"/>
    <w:link w:val="Footer"/>
    <w:uiPriority w:val="99"/>
    <w:rsid w:val="00E30D27"/>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martinez@iahorro.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oelia.perez@iahorr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821</Words>
  <Characters>4685</Characters>
  <Application>Microsoft Office Word</Application>
  <DocSecurity>4</DocSecurity>
  <Lines>39</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5496</CharactersWithSpaces>
  <SharedDoc>false</SharedDoc>
  <HLinks>
    <vt:vector size="12" baseType="variant">
      <vt:variant>
        <vt:i4>5439535</vt:i4>
      </vt:variant>
      <vt:variant>
        <vt:i4>3</vt:i4>
      </vt:variant>
      <vt:variant>
        <vt:i4>0</vt:i4>
      </vt:variant>
      <vt:variant>
        <vt:i4>5</vt:i4>
      </vt:variant>
      <vt:variant>
        <vt:lpwstr>mailto:noelia.perez@iahorro.com</vt:lpwstr>
      </vt:variant>
      <vt:variant>
        <vt:lpwstr/>
      </vt:variant>
      <vt:variant>
        <vt:i4>7602185</vt:i4>
      </vt:variant>
      <vt:variant>
        <vt:i4>0</vt:i4>
      </vt:variant>
      <vt:variant>
        <vt:i4>0</vt:i4>
      </vt:variant>
      <vt:variant>
        <vt:i4>5</vt:i4>
      </vt:variant>
      <vt:variant>
        <vt:lpwstr>mailto:laura.martinez@iahorro.com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5</cp:revision>
  <dcterms:created xsi:type="dcterms:W3CDTF">2026-03-24T16:07:00Z</dcterms:created>
  <dcterms:modified xsi:type="dcterms:W3CDTF">2026-03-24T08:49:00Z</dcterms:modified>
</cp:coreProperties>
</file>