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E74DA" w14:textId="77777777" w:rsidR="00F21D69" w:rsidRPr="00F21D69" w:rsidRDefault="00F21D69" w:rsidP="00F21D69">
      <w:pPr>
        <w:spacing w:line="240" w:lineRule="auto"/>
        <w:jc w:val="center"/>
        <w:rPr>
          <w:rFonts w:ascii="Times New Roman" w:eastAsia="Aptos" w:hAnsi="Times New Roman" w:cs="Times New Roman"/>
          <w:color w:val="000000"/>
          <w:sz w:val="24"/>
          <w:szCs w:val="24"/>
          <w14:ligatures w14:val="standardContextual"/>
        </w:rPr>
      </w:pPr>
      <w:r w:rsidRPr="00F21D69">
        <w:rPr>
          <w:rFonts w:ascii="Muli" w:eastAsia="Aptos" w:hAnsi="Muli" w:cs="Calibri"/>
          <w:b/>
          <w:bCs/>
          <w:color w:val="000000"/>
          <w:sz w:val="24"/>
          <w:szCs w:val="24"/>
          <w14:ligatures w14:val="standardContextual"/>
        </w:rPr>
        <w:t>Análisis de los datos del INE, por Simone Colombelli </w:t>
      </w:r>
    </w:p>
    <w:p w14:paraId="5E25D1A5" w14:textId="380532CD" w:rsidR="00F21D69" w:rsidRPr="00F21D69" w:rsidRDefault="00F21D69" w:rsidP="00F21D69">
      <w:pPr>
        <w:spacing w:after="0" w:line="240" w:lineRule="auto"/>
        <w:jc w:val="center"/>
        <w:rPr>
          <w:rFonts w:ascii="Montserrat" w:eastAsia="Aptos" w:hAnsi="Montserrat" w:cs="Calibri"/>
          <w:b/>
          <w:bCs/>
          <w:color w:val="243962"/>
          <w:sz w:val="28"/>
          <w:szCs w:val="28"/>
          <w:lang w:eastAsia="es-ES"/>
        </w:rPr>
      </w:pPr>
      <w:r>
        <w:rPr>
          <w:rFonts w:ascii="Montserrat" w:eastAsia="Aptos" w:hAnsi="Montserrat" w:cs="Calibri"/>
          <w:b/>
          <w:bCs/>
          <w:color w:val="243962"/>
          <w:sz w:val="28"/>
          <w:szCs w:val="28"/>
          <w:lang w:eastAsia="es-ES"/>
        </w:rPr>
        <w:t>La firma de hipotecas en España se dispara un 44,5%</w:t>
      </w:r>
      <w:r w:rsidR="001C5F22">
        <w:rPr>
          <w:rFonts w:ascii="Montserrat" w:eastAsia="Aptos" w:hAnsi="Montserrat" w:cs="Calibri"/>
          <w:b/>
          <w:bCs/>
          <w:color w:val="243962"/>
          <w:sz w:val="28"/>
          <w:szCs w:val="28"/>
          <w:lang w:eastAsia="es-ES"/>
        </w:rPr>
        <w:t xml:space="preserve"> en el último año </w:t>
      </w:r>
      <w:r>
        <w:rPr>
          <w:rFonts w:ascii="Montserrat" w:eastAsia="Aptos" w:hAnsi="Montserrat" w:cs="Calibri"/>
          <w:b/>
          <w:bCs/>
          <w:color w:val="243962"/>
          <w:sz w:val="28"/>
          <w:szCs w:val="28"/>
          <w:lang w:eastAsia="es-ES"/>
        </w:rPr>
        <w:t>y la hipoteca</w:t>
      </w:r>
      <w:r w:rsidR="00BC4C4A">
        <w:rPr>
          <w:rFonts w:ascii="Montserrat" w:eastAsia="Aptos" w:hAnsi="Montserrat" w:cs="Calibri"/>
          <w:b/>
          <w:bCs/>
          <w:color w:val="243962"/>
          <w:sz w:val="28"/>
          <w:szCs w:val="28"/>
          <w:lang w:eastAsia="es-ES"/>
        </w:rPr>
        <w:t xml:space="preserve"> fija</w:t>
      </w:r>
      <w:r>
        <w:rPr>
          <w:rFonts w:ascii="Montserrat" w:eastAsia="Aptos" w:hAnsi="Montserrat" w:cs="Calibri"/>
          <w:b/>
          <w:bCs/>
          <w:color w:val="243962"/>
          <w:sz w:val="28"/>
          <w:szCs w:val="28"/>
          <w:lang w:eastAsia="es-ES"/>
        </w:rPr>
        <w:t xml:space="preserve"> </w:t>
      </w:r>
      <w:r w:rsidR="001C5F22">
        <w:rPr>
          <w:rFonts w:ascii="Montserrat" w:eastAsia="Aptos" w:hAnsi="Montserrat" w:cs="Calibri"/>
          <w:b/>
          <w:bCs/>
          <w:color w:val="243962"/>
          <w:sz w:val="28"/>
          <w:szCs w:val="28"/>
          <w:lang w:eastAsia="es-ES"/>
        </w:rPr>
        <w:t>se consolida como</w:t>
      </w:r>
      <w:r w:rsidR="007B4211">
        <w:rPr>
          <w:rFonts w:ascii="Montserrat" w:eastAsia="Aptos" w:hAnsi="Montserrat" w:cs="Calibri"/>
          <w:b/>
          <w:bCs/>
          <w:color w:val="243962"/>
          <w:sz w:val="28"/>
          <w:szCs w:val="28"/>
          <w:lang w:eastAsia="es-ES"/>
        </w:rPr>
        <w:t xml:space="preserve"> la gran favorita</w:t>
      </w:r>
      <w:r w:rsidR="00BC4C4A">
        <w:rPr>
          <w:rFonts w:ascii="Montserrat" w:eastAsia="Aptos" w:hAnsi="Montserrat" w:cs="Calibri"/>
          <w:b/>
          <w:bCs/>
          <w:color w:val="243962"/>
          <w:sz w:val="28"/>
          <w:szCs w:val="28"/>
          <w:lang w:eastAsia="es-ES"/>
        </w:rPr>
        <w:t xml:space="preserve"> del mercado, según el INE</w:t>
      </w:r>
    </w:p>
    <w:p w14:paraId="6BE889EB" w14:textId="77777777" w:rsidR="00F21D69" w:rsidRPr="00F21D69" w:rsidRDefault="00F21D69" w:rsidP="00F21D69">
      <w:pPr>
        <w:spacing w:after="0" w:line="240" w:lineRule="auto"/>
        <w:jc w:val="center"/>
        <w:rPr>
          <w:rFonts w:ascii="Montserrat" w:eastAsia="Aptos" w:hAnsi="Montserrat" w:cs="Calibri"/>
          <w:b/>
          <w:bCs/>
          <w:color w:val="243962"/>
          <w:sz w:val="28"/>
          <w:szCs w:val="28"/>
          <w:lang w:eastAsia="es-ES"/>
        </w:rPr>
      </w:pPr>
    </w:p>
    <w:p w14:paraId="52FFFA8D" w14:textId="77777777" w:rsidR="00F21D69" w:rsidRPr="00F21D69" w:rsidRDefault="00F21D69" w:rsidP="00F21D69">
      <w:pPr>
        <w:spacing w:after="0" w:line="240" w:lineRule="auto"/>
        <w:rPr>
          <w:rFonts w:ascii="Muli" w:eastAsia="Aptos" w:hAnsi="Muli" w:cs="Calibri"/>
          <w:sz w:val="24"/>
          <w:szCs w:val="24"/>
          <w14:ligatures w14:val="standardContextual"/>
        </w:rPr>
      </w:pPr>
    </w:p>
    <w:p w14:paraId="413BC891" w14:textId="222DAFE6" w:rsidR="00F21D69" w:rsidRPr="00F21D69" w:rsidRDefault="00F21D69" w:rsidP="00F21D69">
      <w:pPr>
        <w:spacing w:after="0" w:line="240" w:lineRule="auto"/>
        <w:rPr>
          <w:rFonts w:ascii="Muli" w:eastAsia="Aptos" w:hAnsi="Muli" w:cs="Calibri"/>
          <w:sz w:val="24"/>
          <w:szCs w:val="24"/>
          <w14:ligatures w14:val="standardContextual"/>
        </w:rPr>
      </w:pPr>
      <w:r w:rsidRPr="00F21D69">
        <w:rPr>
          <w:rFonts w:ascii="Muli" w:eastAsia="Aptos" w:hAnsi="Muli" w:cs="Calibri"/>
          <w:sz w:val="24"/>
          <w:szCs w:val="24"/>
          <w14:ligatures w14:val="standardContextual"/>
        </w:rPr>
        <w:t xml:space="preserve">Madrid, </w:t>
      </w:r>
      <w:r>
        <w:rPr>
          <w:rFonts w:ascii="Muli" w:eastAsia="Aptos" w:hAnsi="Muli" w:cs="Calibri"/>
          <w:sz w:val="24"/>
          <w:szCs w:val="24"/>
          <w14:ligatures w14:val="standardContextual"/>
        </w:rPr>
        <w:t>27 de mayo</w:t>
      </w:r>
      <w:r w:rsidRPr="00F21D69">
        <w:rPr>
          <w:rFonts w:ascii="Muli" w:eastAsia="Aptos" w:hAnsi="Muli" w:cs="Calibri"/>
          <w:sz w:val="24"/>
          <w:szCs w:val="24"/>
          <w14:ligatures w14:val="standardContextual"/>
        </w:rPr>
        <w:t xml:space="preserve"> de 2025</w:t>
      </w:r>
    </w:p>
    <w:p w14:paraId="6CEE135F" w14:textId="6D201263" w:rsidR="007B4211" w:rsidRDefault="00F21D69" w:rsidP="00F21D69">
      <w:pPr>
        <w:spacing w:before="100" w:beforeAutospacing="1" w:after="100" w:afterAutospacing="1" w:line="240" w:lineRule="auto"/>
        <w:textAlignment w:val="baseline"/>
        <w:rPr>
          <w:rFonts w:ascii="Muli" w:eastAsia="Aptos" w:hAnsi="Muli" w:cs="Times New Roman"/>
          <w:sz w:val="24"/>
          <w:szCs w:val="24"/>
          <w:lang w:eastAsia="es-ES"/>
        </w:rPr>
      </w:pPr>
      <w:r w:rsidRPr="00F21D69">
        <w:rPr>
          <w:rFonts w:ascii="Muli" w:eastAsia="Aptos" w:hAnsi="Muli" w:cs="Times New Roman"/>
          <w:sz w:val="24"/>
          <w:szCs w:val="24"/>
          <w:lang w:eastAsia="es-ES"/>
        </w:rPr>
        <w:t>“</w:t>
      </w:r>
      <w:r w:rsidR="007B4211">
        <w:rPr>
          <w:rFonts w:ascii="Muli" w:eastAsia="Aptos" w:hAnsi="Muli" w:cs="Times New Roman"/>
          <w:sz w:val="24"/>
          <w:szCs w:val="24"/>
          <w:lang w:eastAsia="es-ES"/>
        </w:rPr>
        <w:t xml:space="preserve">Durante el pasado mes de marzo se firmaron en España un total de 42.831 hipotecas sobre vivienda, lo que supone un ascenso del 44,50% respecto al dato registrado el mismo mes del año pasado (29.641 préstamos), según reflejan los últimos datos proporcionados por el Instituto Nacional de Estadística (INE) publicados este martes. Además, si miramos qué ha ocurrido durante todo el primer trimestre de 2025 vemos que en este periodo se han contratado 119.973 hipotecas, lo que también refleja una subida del 18,34% respecto al mismo periodo de 2024 (101.384). </w:t>
      </w:r>
    </w:p>
    <w:p w14:paraId="6F2F5AF3" w14:textId="4BE4D22C" w:rsidR="007B4211" w:rsidRDefault="007B4211" w:rsidP="00F21D69">
      <w:pPr>
        <w:spacing w:before="100" w:beforeAutospacing="1" w:after="100" w:afterAutospacing="1" w:line="240" w:lineRule="auto"/>
        <w:textAlignment w:val="baseline"/>
        <w:rPr>
          <w:rFonts w:ascii="Muli" w:eastAsia="Aptos" w:hAnsi="Muli" w:cs="Times New Roman"/>
          <w:sz w:val="24"/>
          <w:szCs w:val="24"/>
          <w:lang w:eastAsia="es-ES"/>
        </w:rPr>
      </w:pPr>
      <w:r>
        <w:rPr>
          <w:rFonts w:ascii="Muli" w:eastAsia="Aptos" w:hAnsi="Muli" w:cs="Times New Roman"/>
          <w:sz w:val="24"/>
          <w:szCs w:val="24"/>
          <w:lang w:eastAsia="es-ES"/>
        </w:rPr>
        <w:t>¿A qué se debe esta mejora de los datos de firmas de hipotecas en nuestro país? A lo largo de los últimos meses, sobre todo a partir de la segunda parte de 2024 hemos visto cómo el mercado hipotecario se ha recuperado, pero ya estamos en una fase clara de remontada. Esto se debe, en gran parte, a la reducción de los tipos de interés, sobre todo de las hipotecas a tipo fijo, que se están consolidando ya como las favoritas del mercado español, por encima de las variables, pero también de las mixtas.</w:t>
      </w:r>
    </w:p>
    <w:p w14:paraId="5061402C" w14:textId="77777777" w:rsidR="00BC4C4A" w:rsidRDefault="007B4211" w:rsidP="00F21D69">
      <w:pPr>
        <w:spacing w:before="100" w:beforeAutospacing="1" w:after="100" w:afterAutospacing="1" w:line="240" w:lineRule="auto"/>
        <w:textAlignment w:val="baseline"/>
        <w:rPr>
          <w:rFonts w:ascii="Muli" w:eastAsia="Aptos" w:hAnsi="Muli" w:cs="Times New Roman"/>
          <w:sz w:val="24"/>
          <w:szCs w:val="24"/>
          <w:lang w:eastAsia="es-ES"/>
        </w:rPr>
      </w:pPr>
      <w:r>
        <w:rPr>
          <w:rFonts w:ascii="Muli" w:eastAsia="Aptos" w:hAnsi="Muli" w:cs="Times New Roman"/>
          <w:sz w:val="24"/>
          <w:szCs w:val="24"/>
          <w:lang w:eastAsia="es-ES"/>
        </w:rPr>
        <w:t xml:space="preserve">Tanto es así que el </w:t>
      </w:r>
      <w:r w:rsidR="00BC4C4A">
        <w:rPr>
          <w:rFonts w:ascii="Muli" w:eastAsia="Aptos" w:hAnsi="Muli" w:cs="Times New Roman"/>
          <w:sz w:val="24"/>
          <w:szCs w:val="24"/>
          <w:lang w:eastAsia="es-ES"/>
        </w:rPr>
        <w:t>Instituto Nacional de Estadística</w:t>
      </w:r>
      <w:r>
        <w:rPr>
          <w:rFonts w:ascii="Muli" w:eastAsia="Aptos" w:hAnsi="Muli" w:cs="Times New Roman"/>
          <w:sz w:val="24"/>
          <w:szCs w:val="24"/>
          <w:lang w:eastAsia="es-ES"/>
        </w:rPr>
        <w:t xml:space="preserve"> registra que el 66,80% de las hipotecas firmadas en España durante el mes de marzo de 2025 fueron fijas, </w:t>
      </w:r>
      <w:r w:rsidR="00BC4C4A">
        <w:rPr>
          <w:rFonts w:ascii="Muli" w:eastAsia="Aptos" w:hAnsi="Muli" w:cs="Times New Roman"/>
          <w:sz w:val="24"/>
          <w:szCs w:val="24"/>
          <w:lang w:eastAsia="es-ES"/>
        </w:rPr>
        <w:t xml:space="preserve">el porcentaje más alto registrado en este tipo de préstamos desde enero de 2023. Y es que el tipo de interés medio de las hipotecas fijas se situó en marzo en el 3,05% TIN, también el dato más bajo anotado desde 2023, en este caso desde el mes de febrero de ese año. En lo que respecta a las hipotecas variables, aún las elige </w:t>
      </w:r>
      <w:r>
        <w:rPr>
          <w:rFonts w:ascii="Muli" w:eastAsia="Aptos" w:hAnsi="Muli" w:cs="Times New Roman"/>
          <w:sz w:val="24"/>
          <w:szCs w:val="24"/>
          <w:lang w:eastAsia="es-ES"/>
        </w:rPr>
        <w:t xml:space="preserve">el 33,20% </w:t>
      </w:r>
      <w:r w:rsidR="00BC4C4A">
        <w:rPr>
          <w:rFonts w:ascii="Muli" w:eastAsia="Aptos" w:hAnsi="Muli" w:cs="Times New Roman"/>
          <w:sz w:val="24"/>
          <w:szCs w:val="24"/>
          <w:lang w:eastAsia="es-ES"/>
        </w:rPr>
        <w:t>de los españoles, según recoge el organismo oficial, y su</w:t>
      </w:r>
      <w:r>
        <w:rPr>
          <w:rFonts w:ascii="Muli" w:eastAsia="Aptos" w:hAnsi="Muli" w:cs="Times New Roman"/>
          <w:sz w:val="24"/>
          <w:szCs w:val="24"/>
          <w:lang w:eastAsia="es-ES"/>
        </w:rPr>
        <w:t xml:space="preserve"> tipo medio </w:t>
      </w:r>
      <w:r w:rsidR="00BC4C4A">
        <w:rPr>
          <w:rFonts w:ascii="Muli" w:eastAsia="Aptos" w:hAnsi="Muli" w:cs="Times New Roman"/>
          <w:sz w:val="24"/>
          <w:szCs w:val="24"/>
          <w:lang w:eastAsia="es-ES"/>
        </w:rPr>
        <w:t xml:space="preserve">se sitúa en </w:t>
      </w:r>
      <w:r>
        <w:rPr>
          <w:rFonts w:ascii="Muli" w:eastAsia="Aptos" w:hAnsi="Muli" w:cs="Times New Roman"/>
          <w:sz w:val="24"/>
          <w:szCs w:val="24"/>
          <w:lang w:eastAsia="es-ES"/>
        </w:rPr>
        <w:t xml:space="preserve">el 2,82% TIN. </w:t>
      </w:r>
    </w:p>
    <w:p w14:paraId="742EF9B5" w14:textId="6E84AA67" w:rsidR="00BC4C4A" w:rsidRDefault="007B4211" w:rsidP="00F21D69">
      <w:pPr>
        <w:spacing w:before="100" w:beforeAutospacing="1" w:after="100" w:afterAutospacing="1" w:line="240" w:lineRule="auto"/>
        <w:textAlignment w:val="baseline"/>
        <w:rPr>
          <w:rFonts w:ascii="Muli" w:eastAsia="Aptos" w:hAnsi="Muli" w:cs="Times New Roman"/>
          <w:sz w:val="24"/>
          <w:szCs w:val="24"/>
          <w:lang w:eastAsia="es-ES"/>
        </w:rPr>
      </w:pPr>
      <w:r>
        <w:rPr>
          <w:rFonts w:ascii="Muli" w:eastAsia="Aptos" w:hAnsi="Muli" w:cs="Times New Roman"/>
          <w:sz w:val="24"/>
          <w:szCs w:val="24"/>
          <w:lang w:eastAsia="es-ES"/>
        </w:rPr>
        <w:t xml:space="preserve">No obstante, en iAhorro estamos viendo una realidad muy diferente: </w:t>
      </w:r>
      <w:r w:rsidR="00BC4C4A">
        <w:rPr>
          <w:rFonts w:ascii="Muli" w:eastAsia="Aptos" w:hAnsi="Muli" w:cs="Times New Roman"/>
          <w:sz w:val="24"/>
          <w:szCs w:val="24"/>
          <w:lang w:eastAsia="es-ES"/>
        </w:rPr>
        <w:t>la cuota de mercado que ahora se llevan las</w:t>
      </w:r>
      <w:r>
        <w:rPr>
          <w:rFonts w:ascii="Muli" w:eastAsia="Aptos" w:hAnsi="Muli" w:cs="Times New Roman"/>
          <w:sz w:val="24"/>
          <w:szCs w:val="24"/>
          <w:lang w:eastAsia="es-ES"/>
        </w:rPr>
        <w:t xml:space="preserve"> hipotecas variables es prácticamente nul</w:t>
      </w:r>
      <w:r w:rsidR="00BC4C4A">
        <w:rPr>
          <w:rFonts w:ascii="Muli" w:eastAsia="Aptos" w:hAnsi="Muli" w:cs="Times New Roman"/>
          <w:sz w:val="24"/>
          <w:szCs w:val="24"/>
          <w:lang w:eastAsia="es-ES"/>
        </w:rPr>
        <w:t>a</w:t>
      </w:r>
      <w:r>
        <w:rPr>
          <w:rFonts w:ascii="Muli" w:eastAsia="Aptos" w:hAnsi="Muli" w:cs="Times New Roman"/>
          <w:sz w:val="24"/>
          <w:szCs w:val="24"/>
          <w:lang w:eastAsia="es-ES"/>
        </w:rPr>
        <w:t xml:space="preserve"> y se reparte tod</w:t>
      </w:r>
      <w:r w:rsidR="00BC4C4A">
        <w:rPr>
          <w:rFonts w:ascii="Muli" w:eastAsia="Aptos" w:hAnsi="Muli" w:cs="Times New Roman"/>
          <w:sz w:val="24"/>
          <w:szCs w:val="24"/>
          <w:lang w:eastAsia="es-ES"/>
        </w:rPr>
        <w:t xml:space="preserve">a la tarta </w:t>
      </w:r>
      <w:r>
        <w:rPr>
          <w:rFonts w:ascii="Muli" w:eastAsia="Aptos" w:hAnsi="Muli" w:cs="Times New Roman"/>
          <w:sz w:val="24"/>
          <w:szCs w:val="24"/>
          <w:lang w:eastAsia="es-ES"/>
        </w:rPr>
        <w:t xml:space="preserve">entre hipotecas fijas y </w:t>
      </w:r>
      <w:r w:rsidR="00BC4C4A">
        <w:rPr>
          <w:rFonts w:ascii="Muli" w:eastAsia="Aptos" w:hAnsi="Muli" w:cs="Times New Roman"/>
          <w:sz w:val="24"/>
          <w:szCs w:val="24"/>
          <w:lang w:eastAsia="es-ES"/>
        </w:rPr>
        <w:t xml:space="preserve">las hipotecas </w:t>
      </w:r>
      <w:r>
        <w:rPr>
          <w:rFonts w:ascii="Muli" w:eastAsia="Aptos" w:hAnsi="Muli" w:cs="Times New Roman"/>
          <w:sz w:val="24"/>
          <w:szCs w:val="24"/>
          <w:lang w:eastAsia="es-ES"/>
        </w:rPr>
        <w:t xml:space="preserve">mixtas. Por ejemplo, también durante el pasado mes de marzo, un </w:t>
      </w:r>
      <w:r w:rsidR="00BC4C4A">
        <w:rPr>
          <w:rFonts w:ascii="Muli" w:eastAsia="Aptos" w:hAnsi="Muli" w:cs="Times New Roman"/>
          <w:sz w:val="24"/>
          <w:szCs w:val="24"/>
          <w:lang w:eastAsia="es-ES"/>
        </w:rPr>
        <w:t>49,12</w:t>
      </w:r>
      <w:r>
        <w:rPr>
          <w:rFonts w:ascii="Muli" w:eastAsia="Aptos" w:hAnsi="Muli" w:cs="Times New Roman"/>
          <w:sz w:val="24"/>
          <w:szCs w:val="24"/>
          <w:lang w:eastAsia="es-ES"/>
        </w:rPr>
        <w:t xml:space="preserve">% de </w:t>
      </w:r>
      <w:r w:rsidR="001C5F22">
        <w:rPr>
          <w:rFonts w:ascii="Muli" w:eastAsia="Aptos" w:hAnsi="Muli" w:cs="Times New Roman"/>
          <w:sz w:val="24"/>
          <w:szCs w:val="24"/>
          <w:lang w:eastAsia="es-ES"/>
        </w:rPr>
        <w:t xml:space="preserve">todos </w:t>
      </w:r>
      <w:r w:rsidR="00BC4C4A">
        <w:rPr>
          <w:rFonts w:ascii="Muli" w:eastAsia="Aptos" w:hAnsi="Muli" w:cs="Times New Roman"/>
          <w:sz w:val="24"/>
          <w:szCs w:val="24"/>
          <w:lang w:eastAsia="es-ES"/>
        </w:rPr>
        <w:t>los usuarios que contrataron su hipoteca a través de iAhorro</w:t>
      </w:r>
      <w:r>
        <w:rPr>
          <w:rFonts w:ascii="Muli" w:eastAsia="Aptos" w:hAnsi="Muli" w:cs="Times New Roman"/>
          <w:sz w:val="24"/>
          <w:szCs w:val="24"/>
          <w:lang w:eastAsia="es-ES"/>
        </w:rPr>
        <w:t xml:space="preserve"> se decant</w:t>
      </w:r>
      <w:r w:rsidR="00BC4C4A">
        <w:rPr>
          <w:rFonts w:ascii="Muli" w:eastAsia="Aptos" w:hAnsi="Muli" w:cs="Times New Roman"/>
          <w:sz w:val="24"/>
          <w:szCs w:val="24"/>
          <w:lang w:eastAsia="es-ES"/>
        </w:rPr>
        <w:t>aron</w:t>
      </w:r>
      <w:r>
        <w:rPr>
          <w:rFonts w:ascii="Muli" w:eastAsia="Aptos" w:hAnsi="Muli" w:cs="Times New Roman"/>
          <w:sz w:val="24"/>
          <w:szCs w:val="24"/>
          <w:lang w:eastAsia="es-ES"/>
        </w:rPr>
        <w:t xml:space="preserve"> por firmar una hipoteca fija, pero el </w:t>
      </w:r>
      <w:r w:rsidR="00BC4C4A">
        <w:rPr>
          <w:rFonts w:ascii="Muli" w:eastAsia="Aptos" w:hAnsi="Muli" w:cs="Times New Roman"/>
          <w:sz w:val="24"/>
          <w:szCs w:val="24"/>
          <w:lang w:eastAsia="es-ES"/>
        </w:rPr>
        <w:t>50,88%</w:t>
      </w:r>
      <w:r>
        <w:rPr>
          <w:rFonts w:ascii="Muli" w:eastAsia="Aptos" w:hAnsi="Muli" w:cs="Times New Roman"/>
          <w:sz w:val="24"/>
          <w:szCs w:val="24"/>
          <w:lang w:eastAsia="es-ES"/>
        </w:rPr>
        <w:t xml:space="preserve"> restante eligió una hipoteca mixta.</w:t>
      </w:r>
      <w:r w:rsidR="00BC4C4A">
        <w:rPr>
          <w:rFonts w:ascii="Muli" w:eastAsia="Aptos" w:hAnsi="Muli" w:cs="Times New Roman"/>
          <w:sz w:val="24"/>
          <w:szCs w:val="24"/>
          <w:lang w:eastAsia="es-ES"/>
        </w:rPr>
        <w:t xml:space="preserve"> Esto se debe, en gran parte, a que los tipos de interés medios que se cons</w:t>
      </w:r>
      <w:r w:rsidR="001C5F22">
        <w:rPr>
          <w:rFonts w:ascii="Muli" w:eastAsia="Aptos" w:hAnsi="Muli" w:cs="Times New Roman"/>
          <w:sz w:val="24"/>
          <w:szCs w:val="24"/>
          <w:lang w:eastAsia="es-ES"/>
        </w:rPr>
        <w:t>eguían</w:t>
      </w:r>
      <w:r w:rsidR="00BC4C4A">
        <w:rPr>
          <w:rFonts w:ascii="Muli" w:eastAsia="Aptos" w:hAnsi="Muli" w:cs="Times New Roman"/>
          <w:sz w:val="24"/>
          <w:szCs w:val="24"/>
          <w:lang w:eastAsia="es-ES"/>
        </w:rPr>
        <w:t xml:space="preserve"> para el periodo inicial de las hipotecas mixtas </w:t>
      </w:r>
      <w:r w:rsidR="001C5F22">
        <w:rPr>
          <w:rFonts w:ascii="Muli" w:eastAsia="Aptos" w:hAnsi="Muli" w:cs="Times New Roman"/>
          <w:sz w:val="24"/>
          <w:szCs w:val="24"/>
          <w:lang w:eastAsia="es-ES"/>
        </w:rPr>
        <w:t>era</w:t>
      </w:r>
      <w:r w:rsidR="00BC4C4A">
        <w:rPr>
          <w:rFonts w:ascii="Muli" w:eastAsia="Aptos" w:hAnsi="Muli" w:cs="Times New Roman"/>
          <w:sz w:val="24"/>
          <w:szCs w:val="24"/>
          <w:lang w:eastAsia="es-ES"/>
        </w:rPr>
        <w:t>n más bajos que los que se firma</w:t>
      </w:r>
      <w:r w:rsidR="001C5F22">
        <w:rPr>
          <w:rFonts w:ascii="Muli" w:eastAsia="Aptos" w:hAnsi="Muli" w:cs="Times New Roman"/>
          <w:sz w:val="24"/>
          <w:szCs w:val="24"/>
          <w:lang w:eastAsia="es-ES"/>
        </w:rPr>
        <w:t>ban</w:t>
      </w:r>
      <w:r w:rsidR="00BC4C4A">
        <w:rPr>
          <w:rFonts w:ascii="Muli" w:eastAsia="Aptos" w:hAnsi="Muli" w:cs="Times New Roman"/>
          <w:sz w:val="24"/>
          <w:szCs w:val="24"/>
          <w:lang w:eastAsia="es-ES"/>
        </w:rPr>
        <w:t xml:space="preserve"> en hipoteca fija: 1,50% TIN vs. 2,12% TIN.</w:t>
      </w:r>
    </w:p>
    <w:p w14:paraId="2C65AFB5" w14:textId="676F8FE3" w:rsidR="001C5F22" w:rsidRDefault="001C5F22" w:rsidP="00F21D69">
      <w:pPr>
        <w:spacing w:before="100" w:beforeAutospacing="1" w:after="100" w:afterAutospacing="1" w:line="240" w:lineRule="auto"/>
        <w:textAlignment w:val="baseline"/>
        <w:rPr>
          <w:rFonts w:ascii="Muli" w:eastAsia="Aptos" w:hAnsi="Muli" w:cs="Times New Roman"/>
          <w:sz w:val="24"/>
          <w:szCs w:val="24"/>
          <w:lang w:eastAsia="es-ES"/>
        </w:rPr>
      </w:pPr>
      <w:r>
        <w:rPr>
          <w:rFonts w:ascii="Muli" w:eastAsia="Aptos" w:hAnsi="Muli" w:cs="Times New Roman"/>
          <w:sz w:val="24"/>
          <w:szCs w:val="24"/>
          <w:lang w:eastAsia="es-ES"/>
        </w:rPr>
        <w:t>¿Qué estamos viendo ahora? Igual que refleja el INE, según los últimos datos que tenemos en iAhorro, correspondientes al mes de abril, la hipoteca fija ya supera a la mixta en cuanto a firmas, aunque todavía registra un tipo de interés algo superior que el de la parte inicial de las hipotecas mixtas. Tanto es así que un 60,92% de nuestros usuarios ya firmaron en abril hipotecas fijas, un 38,66% hipotecas mixtas y tan solo un 0,42% variables.</w:t>
      </w:r>
    </w:p>
    <w:p w14:paraId="11BA058B" w14:textId="3C8BEA87" w:rsidR="00F21D69" w:rsidRPr="00F21D69" w:rsidRDefault="001C5F22" w:rsidP="00F21D69">
      <w:pPr>
        <w:spacing w:before="100" w:beforeAutospacing="1" w:after="100" w:afterAutospacing="1" w:line="240" w:lineRule="auto"/>
        <w:textAlignment w:val="baseline"/>
        <w:rPr>
          <w:rFonts w:ascii="Muli" w:eastAsia="Aptos" w:hAnsi="Muli" w:cs="Times New Roman"/>
          <w:sz w:val="24"/>
          <w:szCs w:val="24"/>
          <w:lang w:eastAsia="es-ES"/>
        </w:rPr>
      </w:pPr>
      <w:r>
        <w:rPr>
          <w:rFonts w:ascii="Muli" w:eastAsia="Aptos" w:hAnsi="Muli" w:cs="Times New Roman"/>
          <w:sz w:val="24"/>
          <w:szCs w:val="24"/>
          <w:lang w:eastAsia="es-ES"/>
        </w:rPr>
        <w:t>Es cierto que la diferencia entre un tipo de interés y otro va reduciéndose, pero lo hace aún muy poco a poco: el tipo medio de las hipotecas fijas se situó en abril en el 2,10% y el de la primera parte de las hipotecas mixtas fue del 1,59%, más alto que el del mes anterior</w:t>
      </w:r>
      <w:r w:rsidR="00E664CB">
        <w:rPr>
          <w:rFonts w:ascii="Muli" w:eastAsia="Aptos" w:hAnsi="Muli" w:cs="Times New Roman"/>
          <w:sz w:val="24"/>
          <w:szCs w:val="24"/>
          <w:lang w:eastAsia="es-ES"/>
        </w:rPr>
        <w:t>, según nuestros datos</w:t>
      </w:r>
      <w:r>
        <w:rPr>
          <w:rFonts w:ascii="Muli" w:eastAsia="Aptos" w:hAnsi="Muli" w:cs="Times New Roman"/>
          <w:sz w:val="24"/>
          <w:szCs w:val="24"/>
          <w:lang w:eastAsia="es-ES"/>
        </w:rPr>
        <w:t>. Esto hace que el interés por la hipoteca fija vaya aumentando poco a poco entre los españoles y, a su vez, el interés por la mixta vaya disminuyendo</w:t>
      </w:r>
      <w:r w:rsidR="00D103EA">
        <w:rPr>
          <w:rFonts w:ascii="Muli" w:eastAsia="Aptos" w:hAnsi="Muli" w:cs="Times New Roman"/>
          <w:sz w:val="24"/>
          <w:szCs w:val="24"/>
          <w:lang w:eastAsia="es-ES"/>
        </w:rPr>
        <w:t>”</w:t>
      </w:r>
      <w:r>
        <w:rPr>
          <w:rFonts w:ascii="Muli" w:eastAsia="Aptos" w:hAnsi="Muli" w:cs="Times New Roman"/>
          <w:sz w:val="24"/>
          <w:szCs w:val="24"/>
          <w:lang w:eastAsia="es-ES"/>
        </w:rPr>
        <w:t xml:space="preserve">. </w:t>
      </w:r>
    </w:p>
    <w:p w14:paraId="28736855" w14:textId="77777777" w:rsidR="00F21D69" w:rsidRPr="00F21D69" w:rsidRDefault="00F21D69" w:rsidP="00F21D69">
      <w:pPr>
        <w:spacing w:after="0" w:line="240" w:lineRule="auto"/>
        <w:rPr>
          <w:rFonts w:ascii="Calibri" w:eastAsia="Aptos" w:hAnsi="Calibri" w:cs="Calibri"/>
          <w:color w:val="000000"/>
          <w:u w:val="single"/>
          <w14:ligatures w14:val="standardContextual"/>
        </w:rPr>
      </w:pPr>
      <w:r w:rsidRPr="00F21D69">
        <w:rPr>
          <w:rFonts w:ascii="Muli" w:eastAsia="Aptos" w:hAnsi="Muli" w:cs="Calibri"/>
          <w:color w:val="000000"/>
          <w:u w:val="single"/>
          <w14:ligatures w14:val="standardContextual"/>
        </w:rPr>
        <w:t>Simone Colombelli, director de Hipotecas de iAhorro.</w:t>
      </w:r>
    </w:p>
    <w:p w14:paraId="6E765F9D" w14:textId="77777777" w:rsidR="00F21D69" w:rsidRPr="00F21D69" w:rsidRDefault="00F21D69" w:rsidP="00F21D69">
      <w:pPr>
        <w:spacing w:after="0" w:line="240" w:lineRule="auto"/>
        <w:rPr>
          <w:rFonts w:ascii="Muli" w:eastAsia="Aptos" w:hAnsi="Muli" w:cs="Calibri"/>
          <w:color w:val="000000"/>
          <w:u w:val="single"/>
          <w14:ligatures w14:val="standardContextual"/>
        </w:rPr>
      </w:pPr>
    </w:p>
    <w:p w14:paraId="4E3F08F7" w14:textId="77777777" w:rsidR="00F21D69" w:rsidRPr="00F21D69" w:rsidRDefault="00F21D69" w:rsidP="00F21D69">
      <w:pPr>
        <w:spacing w:after="0" w:line="240" w:lineRule="auto"/>
        <w:rPr>
          <w:rFonts w:ascii="Muli" w:eastAsia="Aptos" w:hAnsi="Muli" w:cs="Calibri"/>
          <w:color w:val="000000"/>
          <w:u w:val="single"/>
          <w14:ligatures w14:val="standardContextual"/>
        </w:rPr>
      </w:pPr>
    </w:p>
    <w:p w14:paraId="6347BA2E" w14:textId="77777777" w:rsidR="00F21D69" w:rsidRPr="00F21D69" w:rsidRDefault="00F21D69" w:rsidP="00F21D69">
      <w:pPr>
        <w:spacing w:line="240" w:lineRule="auto"/>
        <w:rPr>
          <w:rFonts w:ascii="Muli" w:eastAsia="Aptos" w:hAnsi="Muli" w:cs="Calibri"/>
          <w:color w:val="000000"/>
          <w:sz w:val="24"/>
          <w:szCs w:val="24"/>
          <w:lang w:val="es-ES_tradnl"/>
          <w14:ligatures w14:val="standardContextual"/>
        </w:rPr>
      </w:pPr>
      <w:r w:rsidRPr="00F21D69">
        <w:rPr>
          <w:rFonts w:ascii="Muli" w:eastAsia="Aptos" w:hAnsi="Muli" w:cs="Calibri"/>
          <w:b/>
          <w:bCs/>
          <w:color w:val="243962"/>
          <w:sz w:val="24"/>
          <w:szCs w:val="24"/>
          <w:lang w:val="es-ES_tradnl"/>
          <w14:ligatures w14:val="standardContextual"/>
        </w:rPr>
        <w:t xml:space="preserve">Si necesita más información o declaraciones en formato audiovisual: </w:t>
      </w:r>
      <w:r w:rsidRPr="00F21D69">
        <w:rPr>
          <w:rFonts w:ascii="Muli" w:eastAsia="Aptos" w:hAnsi="Muli" w:cs="Calibri"/>
          <w:color w:val="000000"/>
          <w:sz w:val="24"/>
          <w:szCs w:val="24"/>
          <w:lang w:val="es-ES_tradnl"/>
          <w14:ligatures w14:val="standardContextual"/>
        </w:rPr>
        <w:t>Póngase en contacto con el departamento de Comunicación. </w:t>
      </w:r>
    </w:p>
    <w:tbl>
      <w:tblPr>
        <w:tblW w:w="7092" w:type="dxa"/>
        <w:tblCellMar>
          <w:left w:w="0" w:type="dxa"/>
          <w:right w:w="0" w:type="dxa"/>
        </w:tblCellMar>
        <w:tblLook w:val="04A0" w:firstRow="1" w:lastRow="0" w:firstColumn="1" w:lastColumn="0" w:noHBand="0" w:noVBand="1"/>
      </w:tblPr>
      <w:tblGrid>
        <w:gridCol w:w="2016"/>
        <w:gridCol w:w="2547"/>
        <w:gridCol w:w="2529"/>
      </w:tblGrid>
      <w:tr w:rsidR="00F21D69" w:rsidRPr="00F21D69" w14:paraId="537AC3F9" w14:textId="77777777" w:rsidTr="00F21D69">
        <w:trPr>
          <w:trHeight w:val="132"/>
        </w:trPr>
        <w:tc>
          <w:tcPr>
            <w:tcW w:w="1980" w:type="dxa"/>
            <w:tcMar>
              <w:top w:w="0" w:type="dxa"/>
              <w:left w:w="108" w:type="dxa"/>
              <w:bottom w:w="0" w:type="dxa"/>
              <w:right w:w="108" w:type="dxa"/>
            </w:tcMar>
            <w:vAlign w:val="center"/>
            <w:hideMark/>
          </w:tcPr>
          <w:p w14:paraId="51BE575E" w14:textId="77777777" w:rsidR="00F21D69" w:rsidRPr="00F21D69" w:rsidRDefault="00F21D69" w:rsidP="00F21D69">
            <w:pPr>
              <w:tabs>
                <w:tab w:val="center" w:pos="4252"/>
                <w:tab w:val="right" w:pos="8504"/>
              </w:tabs>
              <w:spacing w:after="0" w:line="252" w:lineRule="auto"/>
              <w:rPr>
                <w:rFonts w:ascii="Aptos" w:eastAsia="Aptos" w:hAnsi="Aptos" w:cs="Aptos"/>
                <w:b/>
                <w:bCs/>
                <w:sz w:val="18"/>
                <w:szCs w:val="18"/>
              </w:rPr>
            </w:pPr>
            <w:r w:rsidRPr="00F21D69">
              <w:rPr>
                <w:rFonts w:ascii="Aptos" w:eastAsia="Aptos" w:hAnsi="Aptos" w:cs="Times New Roman"/>
                <w:noProof/>
              </w:rPr>
              <w:drawing>
                <wp:inline distT="0" distB="0" distL="0" distR="0" wp14:anchorId="1BD010CA" wp14:editId="1820CF3B">
                  <wp:extent cx="1143000" cy="563880"/>
                  <wp:effectExtent l="0" t="0" r="0" b="0"/>
                  <wp:docPr id="7" name="Imagen 1"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Logotipo&#10;&#10;Descripción generada automáticament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43000" cy="563880"/>
                          </a:xfrm>
                          <a:prstGeom prst="rect">
                            <a:avLst/>
                          </a:prstGeom>
                          <a:noFill/>
                          <a:ln>
                            <a:noFill/>
                          </a:ln>
                        </pic:spPr>
                      </pic:pic>
                    </a:graphicData>
                  </a:graphic>
                </wp:inline>
              </w:drawing>
            </w:r>
          </w:p>
        </w:tc>
        <w:tc>
          <w:tcPr>
            <w:tcW w:w="2556" w:type="dxa"/>
            <w:tcMar>
              <w:top w:w="0" w:type="dxa"/>
              <w:left w:w="108" w:type="dxa"/>
              <w:bottom w:w="0" w:type="dxa"/>
              <w:right w:w="108" w:type="dxa"/>
            </w:tcMar>
            <w:vAlign w:val="center"/>
          </w:tcPr>
          <w:p w14:paraId="0E2A9721" w14:textId="77777777" w:rsidR="00F21D69" w:rsidRPr="00F21D69" w:rsidRDefault="00F21D69" w:rsidP="00F21D69">
            <w:pPr>
              <w:tabs>
                <w:tab w:val="center" w:pos="4252"/>
                <w:tab w:val="right" w:pos="8504"/>
              </w:tabs>
              <w:spacing w:after="0" w:line="252" w:lineRule="auto"/>
              <w:jc w:val="center"/>
              <w:rPr>
                <w:rFonts w:ascii="Aptos" w:eastAsia="Aptos" w:hAnsi="Aptos" w:cs="Times New Roman"/>
                <w:b/>
                <w:bCs/>
                <w:sz w:val="18"/>
                <w:szCs w:val="18"/>
              </w:rPr>
            </w:pPr>
          </w:p>
          <w:p w14:paraId="12F488A2" w14:textId="77777777" w:rsidR="00F21D69" w:rsidRPr="00F21D69" w:rsidRDefault="00F21D69" w:rsidP="00F21D69">
            <w:pPr>
              <w:tabs>
                <w:tab w:val="center" w:pos="4252"/>
                <w:tab w:val="right" w:pos="8504"/>
              </w:tabs>
              <w:spacing w:after="0" w:line="252" w:lineRule="auto"/>
              <w:jc w:val="center"/>
              <w:rPr>
                <w:rFonts w:ascii="Aptos" w:eastAsia="Aptos" w:hAnsi="Aptos" w:cs="Times New Roman"/>
                <w:b/>
                <w:bCs/>
                <w:sz w:val="18"/>
                <w:szCs w:val="18"/>
              </w:rPr>
            </w:pPr>
          </w:p>
          <w:p w14:paraId="4A2A78CE" w14:textId="77777777" w:rsidR="00F21D69" w:rsidRPr="00F21D69" w:rsidRDefault="00F21D69" w:rsidP="00F21D69">
            <w:pPr>
              <w:tabs>
                <w:tab w:val="center" w:pos="4252"/>
                <w:tab w:val="right" w:pos="8504"/>
              </w:tabs>
              <w:spacing w:after="0" w:line="252" w:lineRule="auto"/>
              <w:jc w:val="center"/>
              <w:rPr>
                <w:rFonts w:ascii="Aptos" w:eastAsia="Aptos" w:hAnsi="Aptos" w:cs="Times New Roman"/>
                <w:sz w:val="18"/>
                <w:szCs w:val="18"/>
              </w:rPr>
            </w:pPr>
            <w:r w:rsidRPr="00F21D69">
              <w:rPr>
                <w:rFonts w:ascii="Aptos" w:eastAsia="Aptos" w:hAnsi="Aptos" w:cs="Times New Roman"/>
                <w:b/>
                <w:bCs/>
                <w:sz w:val="18"/>
                <w:szCs w:val="18"/>
              </w:rPr>
              <w:t>Laura Martínez</w:t>
            </w:r>
            <w:r w:rsidRPr="00F21D69">
              <w:rPr>
                <w:rFonts w:ascii="Aptos" w:eastAsia="Aptos" w:hAnsi="Aptos" w:cs="Times New Roman"/>
                <w:sz w:val="18"/>
                <w:szCs w:val="18"/>
              </w:rPr>
              <w:t xml:space="preserve"> – 686 688 757</w:t>
            </w:r>
            <w:r w:rsidRPr="00F21D69">
              <w:rPr>
                <w:rFonts w:ascii="Aptos" w:eastAsia="Aptos" w:hAnsi="Aptos" w:cs="Times New Roman"/>
                <w:sz w:val="18"/>
                <w:szCs w:val="18"/>
              </w:rPr>
              <w:br/>
            </w:r>
            <w:hyperlink r:id="rId6" w:history="1">
              <w:r w:rsidRPr="00F21D69">
                <w:rPr>
                  <w:rFonts w:ascii="Aptos" w:eastAsia="Aptos" w:hAnsi="Aptos" w:cs="Times New Roman"/>
                  <w:color w:val="0563C1"/>
                  <w:sz w:val="18"/>
                  <w:szCs w:val="18"/>
                  <w:u w:val="single"/>
                </w:rPr>
                <w:t>laura.martinez@iahorro.com</w:t>
              </w:r>
            </w:hyperlink>
          </w:p>
          <w:p w14:paraId="5A695B63" w14:textId="77777777" w:rsidR="00F21D69" w:rsidRPr="00F21D69" w:rsidRDefault="00F21D69" w:rsidP="00F21D69">
            <w:pPr>
              <w:tabs>
                <w:tab w:val="center" w:pos="4252"/>
                <w:tab w:val="right" w:pos="8504"/>
              </w:tabs>
              <w:spacing w:after="0" w:line="252" w:lineRule="auto"/>
              <w:jc w:val="center"/>
              <w:rPr>
                <w:rFonts w:ascii="Aptos" w:eastAsia="Aptos" w:hAnsi="Aptos" w:cs="Times New Roman"/>
                <w:b/>
                <w:bCs/>
                <w:sz w:val="18"/>
                <w:szCs w:val="18"/>
                <w:lang w:val="pt-PT"/>
              </w:rPr>
            </w:pPr>
          </w:p>
          <w:p w14:paraId="16E3DC07" w14:textId="77777777" w:rsidR="00F21D69" w:rsidRPr="00F21D69" w:rsidRDefault="00F21D69" w:rsidP="00F21D69">
            <w:pPr>
              <w:tabs>
                <w:tab w:val="center" w:pos="4252"/>
                <w:tab w:val="right" w:pos="8504"/>
              </w:tabs>
              <w:spacing w:after="0" w:line="252" w:lineRule="auto"/>
              <w:jc w:val="center"/>
              <w:rPr>
                <w:rFonts w:ascii="Aptos" w:eastAsia="Aptos" w:hAnsi="Aptos" w:cs="Times New Roman"/>
                <w:b/>
                <w:bCs/>
                <w:sz w:val="18"/>
                <w:szCs w:val="18"/>
                <w:lang w:val="pt-PT"/>
              </w:rPr>
            </w:pPr>
          </w:p>
        </w:tc>
        <w:tc>
          <w:tcPr>
            <w:tcW w:w="2556" w:type="dxa"/>
            <w:tcMar>
              <w:top w:w="0" w:type="dxa"/>
              <w:left w:w="108" w:type="dxa"/>
              <w:bottom w:w="0" w:type="dxa"/>
              <w:right w:w="108" w:type="dxa"/>
            </w:tcMar>
            <w:vAlign w:val="center"/>
            <w:hideMark/>
          </w:tcPr>
          <w:p w14:paraId="3E7CC412" w14:textId="77777777" w:rsidR="00F21D69" w:rsidRPr="00F21D69" w:rsidRDefault="00F21D69" w:rsidP="00F21D69">
            <w:pPr>
              <w:tabs>
                <w:tab w:val="center" w:pos="4252"/>
                <w:tab w:val="right" w:pos="8504"/>
              </w:tabs>
              <w:spacing w:after="0" w:line="252" w:lineRule="auto"/>
              <w:rPr>
                <w:rFonts w:ascii="Aptos" w:eastAsia="Aptos" w:hAnsi="Aptos" w:cs="Times New Roman"/>
                <w:b/>
                <w:bCs/>
                <w:sz w:val="18"/>
                <w:szCs w:val="18"/>
                <w:lang w:val="pt-PT"/>
              </w:rPr>
            </w:pPr>
            <w:r w:rsidRPr="00F21D69">
              <w:rPr>
                <w:rFonts w:ascii="Aptos" w:eastAsia="Aptos" w:hAnsi="Aptos" w:cs="Times New Roman"/>
                <w:b/>
                <w:bCs/>
                <w:sz w:val="18"/>
                <w:szCs w:val="18"/>
                <w:lang w:val="pt-PT"/>
              </w:rPr>
              <w:t>Noelia Pérez</w:t>
            </w:r>
            <w:r w:rsidRPr="00F21D69">
              <w:rPr>
                <w:rFonts w:ascii="Aptos" w:eastAsia="Aptos" w:hAnsi="Aptos" w:cs="Times New Roman"/>
                <w:sz w:val="18"/>
                <w:szCs w:val="18"/>
                <w:lang w:val="pt-PT"/>
              </w:rPr>
              <w:t xml:space="preserve"> – 653 247 167</w:t>
            </w:r>
            <w:r w:rsidRPr="00F21D69">
              <w:rPr>
                <w:rFonts w:ascii="Aptos" w:eastAsia="Aptos" w:hAnsi="Aptos" w:cs="Times New Roman"/>
                <w:sz w:val="18"/>
                <w:szCs w:val="18"/>
                <w:lang w:val="pt-PT"/>
              </w:rPr>
              <w:br/>
            </w:r>
            <w:hyperlink r:id="rId7" w:history="1">
              <w:r w:rsidRPr="00F21D69">
                <w:rPr>
                  <w:rFonts w:ascii="Aptos" w:eastAsia="Aptos" w:hAnsi="Aptos" w:cs="Times New Roman"/>
                  <w:color w:val="0563C1"/>
                  <w:sz w:val="18"/>
                  <w:szCs w:val="18"/>
                  <w:u w:val="single"/>
                  <w:lang w:val="pt-PT"/>
                </w:rPr>
                <w:t>noelia.perez@iahorro.com</w:t>
              </w:r>
            </w:hyperlink>
          </w:p>
        </w:tc>
      </w:tr>
    </w:tbl>
    <w:p w14:paraId="27BD14B4" w14:textId="77777777" w:rsidR="00F21D69" w:rsidRPr="00F21D69" w:rsidRDefault="00F21D69" w:rsidP="00F21D69">
      <w:pPr>
        <w:spacing w:after="0" w:line="240" w:lineRule="auto"/>
        <w:rPr>
          <w:rFonts w:ascii="Calibri" w:eastAsia="Aptos" w:hAnsi="Calibri" w:cs="Calibri"/>
          <w:lang w:val="pt-PT"/>
          <w14:ligatures w14:val="standardContextual"/>
        </w:rPr>
      </w:pPr>
    </w:p>
    <w:p w14:paraId="1162343F" w14:textId="77777777" w:rsidR="00381D98" w:rsidRDefault="00381D98"/>
    <w:sectPr w:rsidR="00381D9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uli">
    <w:altName w:val="Calibri"/>
    <w:panose1 w:val="00000000000000000000"/>
    <w:charset w:val="00"/>
    <w:family w:val="auto"/>
    <w:pitch w:val="variable"/>
    <w:sig w:usb0="A00000FF" w:usb1="5000204B" w:usb2="00000000" w:usb3="00000000" w:csb0="00000193" w:csb1="00000000"/>
  </w:font>
  <w:font w:name="Calibri">
    <w:panose1 w:val="020F0502020204030204"/>
    <w:charset w:val="00"/>
    <w:family w:val="swiss"/>
    <w:pitch w:val="variable"/>
    <w:sig w:usb0="E4002EFF" w:usb1="C000247B" w:usb2="00000009" w:usb3="00000000" w:csb0="000001FF" w:csb1="00000000"/>
  </w:font>
  <w:font w:name="Montserrat">
    <w:panose1 w:val="00000500000000000000"/>
    <w:charset w:val="00"/>
    <w:family w:val="auto"/>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D69"/>
    <w:rsid w:val="0014369C"/>
    <w:rsid w:val="001B0F85"/>
    <w:rsid w:val="001C5F22"/>
    <w:rsid w:val="00283F20"/>
    <w:rsid w:val="00381D98"/>
    <w:rsid w:val="006247E1"/>
    <w:rsid w:val="007335DB"/>
    <w:rsid w:val="007B4211"/>
    <w:rsid w:val="00BC4C4A"/>
    <w:rsid w:val="00D103EA"/>
    <w:rsid w:val="00E664CB"/>
    <w:rsid w:val="00F21D6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F07041"/>
  <w15:chartTrackingRefBased/>
  <w15:docId w15:val="{03CE4DFA-52A0-46A6-8DBD-CDC8A19D1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21D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21D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21D6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21D6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21D6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21D6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21D6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21D6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21D6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21D6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21D6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21D6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21D6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21D6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21D6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21D6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21D6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21D69"/>
    <w:rPr>
      <w:rFonts w:eastAsiaTheme="majorEastAsia" w:cstheme="majorBidi"/>
      <w:color w:val="272727" w:themeColor="text1" w:themeTint="D8"/>
    </w:rPr>
  </w:style>
  <w:style w:type="paragraph" w:styleId="Ttulo">
    <w:name w:val="Title"/>
    <w:basedOn w:val="Normal"/>
    <w:next w:val="Normal"/>
    <w:link w:val="TtuloCar"/>
    <w:uiPriority w:val="10"/>
    <w:qFormat/>
    <w:rsid w:val="00F21D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21D6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21D6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21D6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21D69"/>
    <w:pPr>
      <w:spacing w:before="160"/>
      <w:jc w:val="center"/>
    </w:pPr>
    <w:rPr>
      <w:i/>
      <w:iCs/>
      <w:color w:val="404040" w:themeColor="text1" w:themeTint="BF"/>
    </w:rPr>
  </w:style>
  <w:style w:type="character" w:customStyle="1" w:styleId="CitaCar">
    <w:name w:val="Cita Car"/>
    <w:basedOn w:val="Fuentedeprrafopredeter"/>
    <w:link w:val="Cita"/>
    <w:uiPriority w:val="29"/>
    <w:rsid w:val="00F21D69"/>
    <w:rPr>
      <w:i/>
      <w:iCs/>
      <w:color w:val="404040" w:themeColor="text1" w:themeTint="BF"/>
    </w:rPr>
  </w:style>
  <w:style w:type="paragraph" w:styleId="Prrafodelista">
    <w:name w:val="List Paragraph"/>
    <w:basedOn w:val="Normal"/>
    <w:uiPriority w:val="34"/>
    <w:qFormat/>
    <w:rsid w:val="00F21D69"/>
    <w:pPr>
      <w:ind w:left="720"/>
      <w:contextualSpacing/>
    </w:pPr>
  </w:style>
  <w:style w:type="character" w:styleId="nfasisintenso">
    <w:name w:val="Intense Emphasis"/>
    <w:basedOn w:val="Fuentedeprrafopredeter"/>
    <w:uiPriority w:val="21"/>
    <w:qFormat/>
    <w:rsid w:val="00F21D69"/>
    <w:rPr>
      <w:i/>
      <w:iCs/>
      <w:color w:val="0F4761" w:themeColor="accent1" w:themeShade="BF"/>
    </w:rPr>
  </w:style>
  <w:style w:type="paragraph" w:styleId="Citadestacada">
    <w:name w:val="Intense Quote"/>
    <w:basedOn w:val="Normal"/>
    <w:next w:val="Normal"/>
    <w:link w:val="CitadestacadaCar"/>
    <w:uiPriority w:val="30"/>
    <w:qFormat/>
    <w:rsid w:val="00F21D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21D69"/>
    <w:rPr>
      <w:i/>
      <w:iCs/>
      <w:color w:val="0F4761" w:themeColor="accent1" w:themeShade="BF"/>
    </w:rPr>
  </w:style>
  <w:style w:type="character" w:styleId="Referenciaintensa">
    <w:name w:val="Intense Reference"/>
    <w:basedOn w:val="Fuentedeprrafopredeter"/>
    <w:uiPriority w:val="32"/>
    <w:qFormat/>
    <w:rsid w:val="00F21D69"/>
    <w:rPr>
      <w:b/>
      <w:bCs/>
      <w:smallCaps/>
      <w:color w:val="0F4761" w:themeColor="accent1" w:themeShade="BF"/>
      <w:spacing w:val="5"/>
    </w:rPr>
  </w:style>
  <w:style w:type="character" w:styleId="Hipervnculo">
    <w:name w:val="Hyperlink"/>
    <w:basedOn w:val="Fuentedeprrafopredeter"/>
    <w:uiPriority w:val="99"/>
    <w:unhideWhenUsed/>
    <w:rsid w:val="00F21D69"/>
    <w:rPr>
      <w:color w:val="467886" w:themeColor="hyperlink"/>
      <w:u w:val="single"/>
    </w:rPr>
  </w:style>
  <w:style w:type="character" w:styleId="Mencinsinresolver">
    <w:name w:val="Unresolved Mention"/>
    <w:basedOn w:val="Fuentedeprrafopredeter"/>
    <w:uiPriority w:val="99"/>
    <w:semiHidden/>
    <w:unhideWhenUsed/>
    <w:rsid w:val="00F21D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940159">
      <w:bodyDiv w:val="1"/>
      <w:marLeft w:val="0"/>
      <w:marRight w:val="0"/>
      <w:marTop w:val="0"/>
      <w:marBottom w:val="0"/>
      <w:divBdr>
        <w:top w:val="none" w:sz="0" w:space="0" w:color="auto"/>
        <w:left w:val="none" w:sz="0" w:space="0" w:color="auto"/>
        <w:bottom w:val="none" w:sz="0" w:space="0" w:color="auto"/>
        <w:right w:val="none" w:sz="0" w:space="0" w:color="auto"/>
      </w:divBdr>
    </w:div>
    <w:div w:id="472409256">
      <w:bodyDiv w:val="1"/>
      <w:marLeft w:val="0"/>
      <w:marRight w:val="0"/>
      <w:marTop w:val="0"/>
      <w:marBottom w:val="0"/>
      <w:divBdr>
        <w:top w:val="none" w:sz="0" w:space="0" w:color="auto"/>
        <w:left w:val="none" w:sz="0" w:space="0" w:color="auto"/>
        <w:bottom w:val="none" w:sz="0" w:space="0" w:color="auto"/>
        <w:right w:val="none" w:sz="0" w:space="0" w:color="auto"/>
      </w:divBdr>
    </w:div>
    <w:div w:id="2102949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oelia.perez@iahorr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aura.martinez@iahorro.com"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1</Pages>
  <Words>591</Words>
  <Characters>3251</Characters>
  <Application>Microsoft Office Word</Application>
  <DocSecurity>4</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3835</CharactersWithSpaces>
  <SharedDoc>false</SharedDoc>
  <HLinks>
    <vt:vector size="12" baseType="variant">
      <vt:variant>
        <vt:i4>5439535</vt:i4>
      </vt:variant>
      <vt:variant>
        <vt:i4>3</vt:i4>
      </vt:variant>
      <vt:variant>
        <vt:i4>0</vt:i4>
      </vt:variant>
      <vt:variant>
        <vt:i4>5</vt:i4>
      </vt:variant>
      <vt:variant>
        <vt:lpwstr>mailto:noelia.perez@iahorro.com</vt:lpwstr>
      </vt:variant>
      <vt:variant>
        <vt:lpwstr/>
      </vt:variant>
      <vt:variant>
        <vt:i4>7602185</vt:i4>
      </vt:variant>
      <vt:variant>
        <vt:i4>0</vt:i4>
      </vt:variant>
      <vt:variant>
        <vt:i4>0</vt:i4>
      </vt:variant>
      <vt:variant>
        <vt:i4>5</vt:i4>
      </vt:variant>
      <vt:variant>
        <vt:lpwstr>mailto:laura.martinez@iahorro.com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Noelia Perez</dc:creator>
  <cp:keywords/>
  <dc:description/>
  <cp:lastModifiedBy>Noelia Perez</cp:lastModifiedBy>
  <cp:revision>5</cp:revision>
  <dcterms:created xsi:type="dcterms:W3CDTF">2025-05-27T06:56:00Z</dcterms:created>
  <dcterms:modified xsi:type="dcterms:W3CDTF">2025-05-27T07:44:00Z</dcterms:modified>
</cp:coreProperties>
</file>