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E74DA" w14:textId="54D887B6" w:rsidR="00F21D69" w:rsidRPr="00F21D69" w:rsidRDefault="00F21D69" w:rsidP="00F21D69">
      <w:pPr>
        <w:spacing w:line="240" w:lineRule="auto"/>
        <w:jc w:val="center"/>
        <w:rPr>
          <w:rFonts w:ascii="Times New Roman" w:eastAsia="Aptos" w:hAnsi="Times New Roman" w:cs="Times New Roman"/>
          <w:color w:val="000000"/>
          <w:sz w:val="24"/>
          <w:szCs w:val="24"/>
          <w14:ligatures w14:val="standardContextual"/>
        </w:rPr>
      </w:pPr>
      <w:r w:rsidRPr="00F21D69">
        <w:rPr>
          <w:rFonts w:ascii="Muli" w:eastAsia="Aptos" w:hAnsi="Muli" w:cs="Calibri"/>
          <w:b/>
          <w:bCs/>
          <w:color w:val="000000"/>
          <w:sz w:val="24"/>
          <w:szCs w:val="24"/>
          <w14:ligatures w14:val="standardContextual"/>
        </w:rPr>
        <w:t xml:space="preserve">Análisis de los datos del INE, por </w:t>
      </w:r>
      <w:r w:rsidR="005A17D3">
        <w:rPr>
          <w:rFonts w:ascii="Muli" w:eastAsia="Aptos" w:hAnsi="Muli" w:cs="Calibri"/>
          <w:b/>
          <w:bCs/>
          <w:color w:val="000000"/>
          <w:sz w:val="24"/>
          <w:szCs w:val="24"/>
          <w14:ligatures w14:val="standardContextual"/>
        </w:rPr>
        <w:t>Laura Martíne</w:t>
      </w:r>
      <w:r w:rsidR="00EA3F5A">
        <w:rPr>
          <w:rFonts w:ascii="Muli" w:eastAsia="Aptos" w:hAnsi="Muli" w:cs="Calibri"/>
          <w:b/>
          <w:bCs/>
          <w:color w:val="000000"/>
          <w:sz w:val="24"/>
          <w:szCs w:val="24"/>
          <w14:ligatures w14:val="standardContextual"/>
        </w:rPr>
        <w:t>z</w:t>
      </w:r>
      <w:r w:rsidRPr="00F21D69">
        <w:rPr>
          <w:rFonts w:ascii="Muli" w:eastAsia="Aptos" w:hAnsi="Muli" w:cs="Calibri"/>
          <w:b/>
          <w:bCs/>
          <w:color w:val="000000"/>
          <w:sz w:val="24"/>
          <w:szCs w:val="24"/>
          <w14:ligatures w14:val="standardContextual"/>
        </w:rPr>
        <w:t> </w:t>
      </w:r>
    </w:p>
    <w:p w14:paraId="5E25D1A5" w14:textId="4933F070" w:rsidR="00F21D69" w:rsidRPr="00F21D69" w:rsidRDefault="00F469B0" w:rsidP="00F21D69">
      <w:pPr>
        <w:spacing w:after="0" w:line="240" w:lineRule="auto"/>
        <w:jc w:val="center"/>
        <w:rPr>
          <w:rFonts w:ascii="Montserrat" w:eastAsia="Aptos" w:hAnsi="Montserrat" w:cs="Calibri"/>
          <w:b/>
          <w:bCs/>
          <w:color w:val="243962"/>
          <w:sz w:val="28"/>
          <w:szCs w:val="28"/>
          <w:lang w:eastAsia="es-ES"/>
        </w:rPr>
      </w:pPr>
      <w:r>
        <w:rPr>
          <w:rFonts w:ascii="Montserrat" w:eastAsia="Aptos" w:hAnsi="Montserrat" w:cs="Calibri"/>
          <w:b/>
          <w:bCs/>
          <w:color w:val="243962"/>
          <w:sz w:val="28"/>
          <w:szCs w:val="28"/>
          <w:lang w:eastAsia="es-ES"/>
        </w:rPr>
        <w:t>La firma de hipotecas sigue creciendo</w:t>
      </w:r>
      <w:r w:rsidR="003B5503">
        <w:rPr>
          <w:rFonts w:ascii="Montserrat" w:eastAsia="Aptos" w:hAnsi="Montserrat" w:cs="Calibri"/>
          <w:b/>
          <w:bCs/>
          <w:color w:val="243962"/>
          <w:sz w:val="28"/>
          <w:szCs w:val="28"/>
          <w:lang w:eastAsia="es-ES"/>
        </w:rPr>
        <w:t xml:space="preserve"> en marzo</w:t>
      </w:r>
      <w:r>
        <w:rPr>
          <w:rFonts w:ascii="Montserrat" w:eastAsia="Aptos" w:hAnsi="Montserrat" w:cs="Calibri"/>
          <w:b/>
          <w:bCs/>
          <w:color w:val="243962"/>
          <w:sz w:val="28"/>
          <w:szCs w:val="28"/>
          <w:lang w:eastAsia="es-ES"/>
        </w:rPr>
        <w:t xml:space="preserve"> y alcanza </w:t>
      </w:r>
      <w:r w:rsidR="000A0699">
        <w:rPr>
          <w:rFonts w:ascii="Montserrat" w:eastAsia="Aptos" w:hAnsi="Montserrat" w:cs="Calibri"/>
          <w:b/>
          <w:bCs/>
          <w:color w:val="243962"/>
          <w:sz w:val="28"/>
          <w:szCs w:val="28"/>
          <w:lang w:eastAsia="es-ES"/>
        </w:rPr>
        <w:t xml:space="preserve">las </w:t>
      </w:r>
      <w:r w:rsidR="00BC6FA5">
        <w:rPr>
          <w:rFonts w:ascii="Montserrat" w:eastAsia="Aptos" w:hAnsi="Montserrat" w:cs="Calibri"/>
          <w:b/>
          <w:bCs/>
          <w:color w:val="243962"/>
          <w:sz w:val="28"/>
          <w:szCs w:val="28"/>
          <w:lang w:eastAsia="es-ES"/>
        </w:rPr>
        <w:t>46.661</w:t>
      </w:r>
      <w:r w:rsidR="000A0699">
        <w:rPr>
          <w:rFonts w:ascii="Montserrat" w:eastAsia="Aptos" w:hAnsi="Montserrat" w:cs="Calibri"/>
          <w:b/>
          <w:bCs/>
          <w:color w:val="243962"/>
          <w:sz w:val="28"/>
          <w:szCs w:val="28"/>
          <w:lang w:eastAsia="es-ES"/>
        </w:rPr>
        <w:t xml:space="preserve"> firmas, un 9% más que </w:t>
      </w:r>
      <w:r w:rsidR="000C5887">
        <w:rPr>
          <w:rFonts w:ascii="Montserrat" w:eastAsia="Aptos" w:hAnsi="Montserrat" w:cs="Calibri"/>
          <w:b/>
          <w:bCs/>
          <w:color w:val="243962"/>
          <w:sz w:val="28"/>
          <w:szCs w:val="28"/>
          <w:lang w:eastAsia="es-ES"/>
        </w:rPr>
        <w:t>en el mismo mes de 2025</w:t>
      </w:r>
    </w:p>
    <w:p w14:paraId="6BE889EB" w14:textId="77777777" w:rsidR="00F21D69" w:rsidRPr="00F21D69" w:rsidRDefault="00F21D69" w:rsidP="00F21D69">
      <w:pPr>
        <w:spacing w:after="0" w:line="240" w:lineRule="auto"/>
        <w:jc w:val="center"/>
        <w:rPr>
          <w:rFonts w:ascii="Montserrat" w:eastAsia="Aptos" w:hAnsi="Montserrat" w:cs="Calibri"/>
          <w:b/>
          <w:bCs/>
          <w:color w:val="243962"/>
          <w:sz w:val="28"/>
          <w:szCs w:val="28"/>
          <w:lang w:eastAsia="es-ES"/>
        </w:rPr>
      </w:pPr>
    </w:p>
    <w:p w14:paraId="52FFFA8D" w14:textId="77777777" w:rsidR="00F21D69" w:rsidRPr="00F21D69" w:rsidRDefault="00F21D69" w:rsidP="00F21D69">
      <w:pPr>
        <w:spacing w:after="0" w:line="240" w:lineRule="auto"/>
        <w:rPr>
          <w:rFonts w:ascii="Muli" w:eastAsia="Aptos" w:hAnsi="Muli" w:cs="Calibri"/>
          <w:sz w:val="24"/>
          <w:szCs w:val="24"/>
          <w14:ligatures w14:val="standardContextual"/>
        </w:rPr>
      </w:pPr>
    </w:p>
    <w:p w14:paraId="413BC891" w14:textId="2105DF6D" w:rsidR="00F21D69" w:rsidRPr="00637F8A" w:rsidRDefault="00F21D69" w:rsidP="00F21D69">
      <w:pPr>
        <w:spacing w:after="0" w:line="240" w:lineRule="auto"/>
        <w:rPr>
          <w:rFonts w:ascii="Muli" w:eastAsia="Aptos" w:hAnsi="Muli" w:cs="Calibri"/>
          <w:sz w:val="24"/>
          <w:szCs w:val="24"/>
          <w14:ligatures w14:val="standardContextual"/>
        </w:rPr>
      </w:pPr>
      <w:r w:rsidRPr="00637F8A">
        <w:rPr>
          <w:rFonts w:ascii="Muli" w:eastAsia="Aptos" w:hAnsi="Muli" w:cs="Calibri"/>
          <w:sz w:val="24"/>
          <w:szCs w:val="24"/>
          <w14:ligatures w14:val="standardContextual"/>
        </w:rPr>
        <w:t>Madrid, 27 de mayo de 202</w:t>
      </w:r>
      <w:r w:rsidR="00EA3F5A" w:rsidRPr="00637F8A">
        <w:rPr>
          <w:rFonts w:ascii="Muli" w:eastAsia="Aptos" w:hAnsi="Muli" w:cs="Calibri"/>
          <w:sz w:val="24"/>
          <w:szCs w:val="24"/>
          <w14:ligatures w14:val="standardContextual"/>
        </w:rPr>
        <w:t>6</w:t>
      </w:r>
    </w:p>
    <w:p w14:paraId="35C6B147" w14:textId="77777777" w:rsidR="00C44278" w:rsidRDefault="00C44278" w:rsidP="00FB2646">
      <w:pPr>
        <w:spacing w:after="0" w:line="240" w:lineRule="auto"/>
        <w:rPr>
          <w:rFonts w:ascii="Muli" w:eastAsia="Aptos" w:hAnsi="Muli" w:cs="Times New Roman"/>
          <w:sz w:val="24"/>
          <w:szCs w:val="24"/>
          <w:lang w:eastAsia="es-ES"/>
        </w:rPr>
      </w:pPr>
    </w:p>
    <w:p w14:paraId="62155974" w14:textId="2409C2C8" w:rsidR="00E3040D" w:rsidRDefault="0053782B" w:rsidP="00FB2646">
      <w:pPr>
        <w:spacing w:after="0" w:line="240" w:lineRule="auto"/>
        <w:rPr>
          <w:rFonts w:ascii="Muli" w:eastAsia="Aptos" w:hAnsi="Muli" w:cs="Times New Roman"/>
          <w:sz w:val="24"/>
          <w:szCs w:val="24"/>
          <w:lang w:eastAsia="es-ES"/>
        </w:rPr>
      </w:pPr>
      <w:r>
        <w:rPr>
          <w:rFonts w:ascii="Muli" w:eastAsia="Aptos" w:hAnsi="Muli" w:cs="Times New Roman"/>
          <w:sz w:val="24"/>
          <w:szCs w:val="24"/>
          <w:lang w:eastAsia="es-ES"/>
        </w:rPr>
        <w:t>“</w:t>
      </w:r>
      <w:r w:rsidR="00FB2646" w:rsidRPr="00FB2646">
        <w:rPr>
          <w:rFonts w:ascii="Muli" w:eastAsia="Aptos" w:hAnsi="Muli" w:cs="Times New Roman"/>
          <w:sz w:val="24"/>
          <w:szCs w:val="24"/>
          <w:lang w:eastAsia="es-ES"/>
        </w:rPr>
        <w:t>El sector ha registrado, según los datos provisionales del Instituto Nacional de Estadística (INE) correspondientes al mes de marzo, un total de 46.661 operaciones hipotecaria</w:t>
      </w:r>
      <w:r w:rsidR="00E3040D">
        <w:rPr>
          <w:rFonts w:ascii="Muli" w:eastAsia="Aptos" w:hAnsi="Muli" w:cs="Times New Roman"/>
          <w:sz w:val="24"/>
          <w:szCs w:val="24"/>
          <w:lang w:eastAsia="es-ES"/>
        </w:rPr>
        <w:t>, un</w:t>
      </w:r>
      <w:r w:rsidR="00FB2646" w:rsidRPr="00FB2646">
        <w:rPr>
          <w:rFonts w:ascii="Muli" w:eastAsia="Aptos" w:hAnsi="Muli" w:cs="Times New Roman"/>
          <w:sz w:val="24"/>
          <w:szCs w:val="24"/>
          <w:lang w:eastAsia="es-ES"/>
        </w:rPr>
        <w:t xml:space="preserve"> 9% respecto al mismo mes del año 2025, un indicador que confirma que el activo inmobiliario sigue captando el interés inversor y residencial. La confianza de los hogares, aunque cautelosa, se mantiene firme, apoyada principalmente por una oferta hipotecaria que ha sabido adaptarse a las nuevas realidades financieras.</w:t>
      </w:r>
    </w:p>
    <w:p w14:paraId="1411AFAC" w14:textId="77777777" w:rsidR="00E3040D" w:rsidRDefault="00E3040D" w:rsidP="00FB2646">
      <w:pPr>
        <w:spacing w:after="0" w:line="240" w:lineRule="auto"/>
        <w:rPr>
          <w:rFonts w:ascii="Muli" w:eastAsia="Aptos" w:hAnsi="Muli" w:cs="Times New Roman"/>
          <w:sz w:val="24"/>
          <w:szCs w:val="24"/>
          <w:lang w:eastAsia="es-ES"/>
        </w:rPr>
      </w:pPr>
    </w:p>
    <w:p w14:paraId="56127CE5" w14:textId="77777777" w:rsidR="00EC3A60" w:rsidRPr="00FB2646" w:rsidRDefault="00EC3A60" w:rsidP="00EC3A60">
      <w:pPr>
        <w:spacing w:after="0" w:line="240" w:lineRule="auto"/>
        <w:rPr>
          <w:rFonts w:ascii="Muli" w:eastAsia="Aptos" w:hAnsi="Muli" w:cs="Times New Roman"/>
          <w:sz w:val="24"/>
          <w:szCs w:val="24"/>
          <w:lang w:eastAsia="es-ES"/>
        </w:rPr>
      </w:pPr>
      <w:r>
        <w:rPr>
          <w:rFonts w:ascii="Muli" w:eastAsia="Aptos" w:hAnsi="Muli" w:cs="Times New Roman"/>
          <w:sz w:val="24"/>
          <w:szCs w:val="24"/>
          <w:lang w:eastAsia="es-ES"/>
        </w:rPr>
        <w:t xml:space="preserve">Esto significa que el crecimiento se ha moderado, pero si tenemos en cuenta el acumulado podemos ver que venimos de un 2025 de crecimiento constante. </w:t>
      </w:r>
    </w:p>
    <w:p w14:paraId="6933FF45" w14:textId="24ED2994" w:rsidR="00FB2646" w:rsidRPr="00FB2646" w:rsidRDefault="00FB2646" w:rsidP="00FB2646">
      <w:pPr>
        <w:spacing w:after="0" w:line="240" w:lineRule="auto"/>
        <w:rPr>
          <w:rFonts w:ascii="Muli" w:eastAsia="Aptos" w:hAnsi="Muli" w:cs="Times New Roman"/>
          <w:sz w:val="24"/>
          <w:szCs w:val="24"/>
          <w:lang w:eastAsia="es-ES"/>
        </w:rPr>
      </w:pPr>
      <w:r w:rsidRPr="00FB2646">
        <w:rPr>
          <w:rFonts w:ascii="Muli" w:eastAsia="Aptos" w:hAnsi="Muli" w:cs="Times New Roman"/>
          <w:sz w:val="24"/>
          <w:szCs w:val="24"/>
          <w:lang w:eastAsia="es-ES"/>
        </w:rPr>
        <w:t>La cifra acumulada del trimestre refuerza la idea de que la demanda embalsada sigue</w:t>
      </w:r>
      <w:r w:rsidR="002D4CE9">
        <w:rPr>
          <w:rFonts w:ascii="Muli" w:eastAsia="Aptos" w:hAnsi="Muli" w:cs="Times New Roman"/>
          <w:sz w:val="24"/>
          <w:szCs w:val="24"/>
          <w:lang w:eastAsia="es-ES"/>
        </w:rPr>
        <w:t>.</w:t>
      </w:r>
      <w:r w:rsidRPr="00FB2646">
        <w:rPr>
          <w:rFonts w:ascii="Muli" w:eastAsia="Aptos" w:hAnsi="Muli" w:cs="Times New Roman"/>
          <w:sz w:val="24"/>
          <w:szCs w:val="24"/>
          <w:lang w:eastAsia="es-ES"/>
        </w:rPr>
        <w:t xml:space="preserve"> </w:t>
      </w:r>
      <w:r w:rsidR="00565E1A">
        <w:rPr>
          <w:rFonts w:ascii="Muli" w:eastAsia="Aptos" w:hAnsi="Muli" w:cs="Times New Roman"/>
          <w:sz w:val="24"/>
          <w:szCs w:val="24"/>
          <w:lang w:eastAsia="es-ES"/>
        </w:rPr>
        <w:t>H</w:t>
      </w:r>
      <w:r w:rsidR="00E3040D">
        <w:rPr>
          <w:rFonts w:ascii="Muli" w:eastAsia="Aptos" w:hAnsi="Muli" w:cs="Times New Roman"/>
          <w:sz w:val="24"/>
          <w:szCs w:val="24"/>
          <w:lang w:eastAsia="es-ES"/>
        </w:rPr>
        <w:t>ay que recordar</w:t>
      </w:r>
      <w:r w:rsidR="00565E1A">
        <w:rPr>
          <w:rFonts w:ascii="Muli" w:eastAsia="Aptos" w:hAnsi="Muli" w:cs="Times New Roman"/>
          <w:sz w:val="24"/>
          <w:szCs w:val="24"/>
          <w:lang w:eastAsia="es-ES"/>
        </w:rPr>
        <w:t>, por ejemplo,</w:t>
      </w:r>
      <w:r w:rsidR="00E3040D">
        <w:rPr>
          <w:rFonts w:ascii="Muli" w:eastAsia="Aptos" w:hAnsi="Muli" w:cs="Times New Roman"/>
          <w:sz w:val="24"/>
          <w:szCs w:val="24"/>
          <w:lang w:eastAsia="es-ES"/>
        </w:rPr>
        <w:t xml:space="preserve"> que en </w:t>
      </w:r>
      <w:r w:rsidR="00565E1A">
        <w:rPr>
          <w:rFonts w:ascii="Muli" w:eastAsia="Aptos" w:hAnsi="Muli" w:cs="Times New Roman"/>
          <w:sz w:val="24"/>
          <w:szCs w:val="24"/>
          <w:lang w:eastAsia="es-ES"/>
        </w:rPr>
        <w:t xml:space="preserve">marzo de </w:t>
      </w:r>
      <w:r w:rsidR="00E3040D">
        <w:rPr>
          <w:rFonts w:ascii="Muli" w:eastAsia="Aptos" w:hAnsi="Muli" w:cs="Times New Roman"/>
          <w:sz w:val="24"/>
          <w:szCs w:val="24"/>
          <w:lang w:eastAsia="es-ES"/>
        </w:rPr>
        <w:t xml:space="preserve">2025 se firmaron </w:t>
      </w:r>
      <w:r w:rsidR="00BC6FA5">
        <w:rPr>
          <w:rFonts w:ascii="Muli" w:eastAsia="Aptos" w:hAnsi="Muli" w:cs="Times New Roman"/>
          <w:sz w:val="24"/>
          <w:szCs w:val="24"/>
          <w:lang w:eastAsia="es-ES"/>
        </w:rPr>
        <w:t>42.831</w:t>
      </w:r>
      <w:r w:rsidR="00E3040D">
        <w:rPr>
          <w:rFonts w:ascii="Muli" w:eastAsia="Aptos" w:hAnsi="Muli" w:cs="Times New Roman"/>
          <w:sz w:val="24"/>
          <w:szCs w:val="24"/>
          <w:lang w:eastAsia="es-ES"/>
        </w:rPr>
        <w:t xml:space="preserve"> hipotecas, lo que supuso un crecimiento del </w:t>
      </w:r>
      <w:r w:rsidR="00950EB2">
        <w:rPr>
          <w:rFonts w:ascii="Muli" w:eastAsia="Aptos" w:hAnsi="Muli" w:cs="Times New Roman"/>
          <w:sz w:val="24"/>
          <w:szCs w:val="24"/>
          <w:lang w:eastAsia="es-ES"/>
        </w:rPr>
        <w:t>44,44</w:t>
      </w:r>
      <w:r w:rsidR="00E3040D">
        <w:rPr>
          <w:rFonts w:ascii="Muli" w:eastAsia="Aptos" w:hAnsi="Muli" w:cs="Times New Roman"/>
          <w:sz w:val="24"/>
          <w:szCs w:val="24"/>
          <w:lang w:eastAsia="es-ES"/>
        </w:rPr>
        <w:t>% comparando con el dato de 2024</w:t>
      </w:r>
      <w:r w:rsidR="00BD20F1">
        <w:rPr>
          <w:rFonts w:ascii="Muli" w:eastAsia="Aptos" w:hAnsi="Muli" w:cs="Times New Roman"/>
          <w:sz w:val="24"/>
          <w:szCs w:val="24"/>
          <w:lang w:eastAsia="es-ES"/>
        </w:rPr>
        <w:t xml:space="preserve"> (</w:t>
      </w:r>
      <w:r w:rsidR="00637F8A">
        <w:rPr>
          <w:rFonts w:ascii="Muli" w:eastAsia="Aptos" w:hAnsi="Muli" w:cs="Times New Roman"/>
          <w:sz w:val="24"/>
          <w:szCs w:val="24"/>
          <w:lang w:eastAsia="es-ES"/>
        </w:rPr>
        <w:t>29.653)</w:t>
      </w:r>
      <w:r w:rsidR="00E3040D">
        <w:rPr>
          <w:rFonts w:ascii="Muli" w:eastAsia="Aptos" w:hAnsi="Muli" w:cs="Times New Roman"/>
          <w:sz w:val="24"/>
          <w:szCs w:val="24"/>
          <w:lang w:eastAsia="es-ES"/>
        </w:rPr>
        <w:t>.</w:t>
      </w:r>
      <w:r w:rsidR="007B6086">
        <w:rPr>
          <w:rFonts w:ascii="Muli" w:eastAsia="Aptos" w:hAnsi="Muli" w:cs="Times New Roman"/>
          <w:sz w:val="24"/>
          <w:szCs w:val="24"/>
          <w:lang w:eastAsia="es-ES"/>
        </w:rPr>
        <w:t xml:space="preserve"> </w:t>
      </w:r>
    </w:p>
    <w:p w14:paraId="0AD4E957" w14:textId="77777777" w:rsidR="00FB2646" w:rsidRPr="00FB2646" w:rsidRDefault="00FB2646" w:rsidP="00FB2646">
      <w:pPr>
        <w:spacing w:after="0" w:line="240" w:lineRule="auto"/>
        <w:rPr>
          <w:rFonts w:ascii="Muli" w:eastAsia="Aptos" w:hAnsi="Muli" w:cs="Times New Roman"/>
          <w:sz w:val="24"/>
          <w:szCs w:val="24"/>
          <w:lang w:eastAsia="es-ES"/>
        </w:rPr>
      </w:pPr>
    </w:p>
    <w:p w14:paraId="55ED7534" w14:textId="67786080" w:rsidR="0090005E" w:rsidRPr="00637F8A" w:rsidRDefault="0090005E" w:rsidP="00FB2646">
      <w:pPr>
        <w:spacing w:after="0" w:line="240" w:lineRule="auto"/>
        <w:rPr>
          <w:rFonts w:ascii="Montserrat" w:eastAsia="Aptos" w:hAnsi="Montserrat" w:cs="Times New Roman"/>
          <w:b/>
          <w:bCs/>
          <w:color w:val="002060"/>
          <w:sz w:val="24"/>
          <w:szCs w:val="24"/>
          <w:lang w:eastAsia="es-ES"/>
        </w:rPr>
      </w:pPr>
      <w:r w:rsidRPr="00637F8A">
        <w:rPr>
          <w:rFonts w:ascii="Montserrat" w:eastAsia="Aptos" w:hAnsi="Montserrat" w:cs="Times New Roman"/>
          <w:b/>
          <w:bCs/>
          <w:color w:val="002060"/>
          <w:sz w:val="24"/>
          <w:szCs w:val="24"/>
          <w:lang w:eastAsia="es-ES"/>
        </w:rPr>
        <w:t xml:space="preserve">El tipo de interés de las hipotecas </w:t>
      </w:r>
      <w:r w:rsidR="00BD0E13" w:rsidRPr="00637F8A">
        <w:rPr>
          <w:rFonts w:ascii="Montserrat" w:eastAsia="Aptos" w:hAnsi="Montserrat" w:cs="Times New Roman"/>
          <w:b/>
          <w:bCs/>
          <w:color w:val="002060"/>
          <w:sz w:val="24"/>
          <w:szCs w:val="24"/>
          <w:lang w:eastAsia="es-ES"/>
        </w:rPr>
        <w:t xml:space="preserve">fijas </w:t>
      </w:r>
      <w:r w:rsidR="00693852">
        <w:rPr>
          <w:rFonts w:ascii="Montserrat" w:eastAsia="Aptos" w:hAnsi="Montserrat" w:cs="Times New Roman"/>
          <w:b/>
          <w:bCs/>
          <w:color w:val="002060"/>
          <w:sz w:val="24"/>
          <w:szCs w:val="24"/>
          <w:lang w:eastAsia="es-ES"/>
        </w:rPr>
        <w:t>sube</w:t>
      </w:r>
      <w:r w:rsidR="00BD0E13" w:rsidRPr="00637F8A">
        <w:rPr>
          <w:rFonts w:ascii="Montserrat" w:eastAsia="Aptos" w:hAnsi="Montserrat" w:cs="Times New Roman"/>
          <w:b/>
          <w:bCs/>
          <w:color w:val="002060"/>
          <w:sz w:val="24"/>
          <w:szCs w:val="24"/>
          <w:lang w:eastAsia="es-ES"/>
        </w:rPr>
        <w:t xml:space="preserve"> un </w:t>
      </w:r>
      <w:r w:rsidR="004A3A09" w:rsidRPr="00637F8A">
        <w:rPr>
          <w:rFonts w:ascii="Montserrat" w:eastAsia="Aptos" w:hAnsi="Montserrat" w:cs="Times New Roman"/>
          <w:b/>
          <w:bCs/>
          <w:color w:val="002060"/>
          <w:sz w:val="24"/>
          <w:szCs w:val="24"/>
          <w:lang w:eastAsia="es-ES"/>
        </w:rPr>
        <w:t>0,13</w:t>
      </w:r>
      <w:r w:rsidR="00BD0E13" w:rsidRPr="00637F8A">
        <w:rPr>
          <w:rFonts w:ascii="Montserrat" w:eastAsia="Aptos" w:hAnsi="Montserrat" w:cs="Times New Roman"/>
          <w:b/>
          <w:bCs/>
          <w:color w:val="002060"/>
          <w:sz w:val="24"/>
          <w:szCs w:val="24"/>
          <w:lang w:eastAsia="es-ES"/>
        </w:rPr>
        <w:t>%</w:t>
      </w:r>
    </w:p>
    <w:p w14:paraId="165ECB40" w14:textId="77777777" w:rsidR="0090005E" w:rsidRDefault="0090005E" w:rsidP="00FB2646">
      <w:pPr>
        <w:spacing w:after="0" w:line="240" w:lineRule="auto"/>
        <w:rPr>
          <w:rFonts w:ascii="Muli" w:eastAsia="Aptos" w:hAnsi="Muli" w:cs="Times New Roman"/>
          <w:sz w:val="24"/>
          <w:szCs w:val="24"/>
          <w:lang w:eastAsia="es-ES"/>
        </w:rPr>
      </w:pPr>
    </w:p>
    <w:p w14:paraId="237D094D" w14:textId="35E25367" w:rsidR="00BD0E13" w:rsidRDefault="00FB2646" w:rsidP="00FB2646">
      <w:pPr>
        <w:spacing w:after="0" w:line="240" w:lineRule="auto"/>
        <w:rPr>
          <w:rFonts w:ascii="Muli" w:eastAsia="Aptos" w:hAnsi="Muli" w:cs="Times New Roman"/>
          <w:sz w:val="24"/>
          <w:szCs w:val="24"/>
          <w:lang w:eastAsia="es-ES"/>
        </w:rPr>
      </w:pPr>
      <w:r w:rsidRPr="00FB2646">
        <w:rPr>
          <w:rFonts w:ascii="Muli" w:eastAsia="Aptos" w:hAnsi="Muli" w:cs="Times New Roman"/>
          <w:sz w:val="24"/>
          <w:szCs w:val="24"/>
          <w:lang w:eastAsia="es-ES"/>
        </w:rPr>
        <w:t>En cuanto a las condiciones de mercado, el tipo de interés medio</w:t>
      </w:r>
      <w:r w:rsidR="002B60BE">
        <w:rPr>
          <w:rFonts w:ascii="Muli" w:eastAsia="Aptos" w:hAnsi="Muli" w:cs="Times New Roman"/>
          <w:sz w:val="24"/>
          <w:szCs w:val="24"/>
          <w:lang w:eastAsia="es-ES"/>
        </w:rPr>
        <w:t xml:space="preserve"> de las hipotecas fijas</w:t>
      </w:r>
      <w:r w:rsidRPr="00FB2646">
        <w:rPr>
          <w:rFonts w:ascii="Muli" w:eastAsia="Aptos" w:hAnsi="Muli" w:cs="Times New Roman"/>
          <w:sz w:val="24"/>
          <w:szCs w:val="24"/>
          <w:lang w:eastAsia="es-ES"/>
        </w:rPr>
        <w:t xml:space="preserve"> se sitúa actualmente en el 2,84%. Este nivel de precios ha provocado que el sector se decante por la seguridad financiera, dado que casi el 64% de los nuevos préstamos contratados durante este periodo son a tipo fijo. Esta tendencia refleja una clara preferencia del usuario por la predictibilidad y la estabilidad en el pago de sus cuotas a largo plazo, distanciándose del riesgo que suponen las fluctuaciones del </w:t>
      </w:r>
      <w:r w:rsidR="00BD0E13">
        <w:rPr>
          <w:rFonts w:ascii="Muli" w:eastAsia="Aptos" w:hAnsi="Muli" w:cs="Times New Roman"/>
          <w:sz w:val="24"/>
          <w:szCs w:val="24"/>
          <w:lang w:eastAsia="es-ES"/>
        </w:rPr>
        <w:t>e</w:t>
      </w:r>
      <w:r w:rsidRPr="00FB2646">
        <w:rPr>
          <w:rFonts w:ascii="Muli" w:eastAsia="Aptos" w:hAnsi="Muli" w:cs="Times New Roman"/>
          <w:sz w:val="24"/>
          <w:szCs w:val="24"/>
          <w:lang w:eastAsia="es-ES"/>
        </w:rPr>
        <w:t xml:space="preserve">uríbor en las opciones variables. </w:t>
      </w:r>
    </w:p>
    <w:p w14:paraId="74D5ED61" w14:textId="77777777" w:rsidR="00BD0E13" w:rsidRDefault="00BD0E13" w:rsidP="00FB2646">
      <w:pPr>
        <w:spacing w:after="0" w:line="240" w:lineRule="auto"/>
        <w:rPr>
          <w:rFonts w:ascii="Muli" w:eastAsia="Aptos" w:hAnsi="Muli" w:cs="Times New Roman"/>
          <w:sz w:val="24"/>
          <w:szCs w:val="24"/>
          <w:lang w:eastAsia="es-ES"/>
        </w:rPr>
      </w:pPr>
    </w:p>
    <w:p w14:paraId="250857F8" w14:textId="0EDAA418" w:rsidR="00FB2646" w:rsidRPr="00FB2646" w:rsidRDefault="00FB2646" w:rsidP="00FB2646">
      <w:pPr>
        <w:spacing w:after="0" w:line="240" w:lineRule="auto"/>
        <w:rPr>
          <w:rFonts w:ascii="Muli" w:eastAsia="Aptos" w:hAnsi="Muli" w:cs="Times New Roman"/>
          <w:sz w:val="24"/>
          <w:szCs w:val="24"/>
          <w:lang w:eastAsia="es-ES"/>
        </w:rPr>
      </w:pPr>
      <w:r w:rsidRPr="00FB2646">
        <w:rPr>
          <w:rFonts w:ascii="Muli" w:eastAsia="Aptos" w:hAnsi="Muli" w:cs="Times New Roman"/>
          <w:sz w:val="24"/>
          <w:szCs w:val="24"/>
          <w:lang w:eastAsia="es-ES"/>
        </w:rPr>
        <w:t>Por otro lado, el importe medio de estas operaciones se eleva a los 174.132 euros, lo que supone un incremento interanual del 10,1%. Este aumento en el volumen medio por préstamo sugiere no solo una revalorización continuada de los activos inmobiliarios, sino también una tendencia hacia la absorción de inmuebles de mayor valor, lo cual es indicativo de unos perfiles de comprador cada vez más solventes y con una capacidad de endeudamiento estructurada para un horizonte temporal extenso.</w:t>
      </w:r>
    </w:p>
    <w:p w14:paraId="4C2382C2" w14:textId="77777777" w:rsidR="00FB2646" w:rsidRPr="00FB2646" w:rsidRDefault="00FB2646" w:rsidP="00FB2646">
      <w:pPr>
        <w:spacing w:after="0" w:line="240" w:lineRule="auto"/>
        <w:rPr>
          <w:rFonts w:ascii="Muli" w:eastAsia="Aptos" w:hAnsi="Muli" w:cs="Times New Roman"/>
          <w:sz w:val="24"/>
          <w:szCs w:val="24"/>
          <w:lang w:eastAsia="es-ES"/>
        </w:rPr>
      </w:pPr>
    </w:p>
    <w:p w14:paraId="4782955E" w14:textId="77777777" w:rsidR="00B50853" w:rsidRDefault="00FB2646" w:rsidP="00FB2646">
      <w:pPr>
        <w:spacing w:after="0" w:line="240" w:lineRule="auto"/>
        <w:rPr>
          <w:rFonts w:ascii="Muli" w:eastAsia="Aptos" w:hAnsi="Muli" w:cs="Times New Roman"/>
          <w:sz w:val="24"/>
          <w:szCs w:val="24"/>
          <w:lang w:eastAsia="es-ES"/>
        </w:rPr>
      </w:pPr>
      <w:r w:rsidRPr="00FB2646">
        <w:rPr>
          <w:rFonts w:ascii="Muli" w:eastAsia="Aptos" w:hAnsi="Muli" w:cs="Times New Roman"/>
          <w:sz w:val="24"/>
          <w:szCs w:val="24"/>
          <w:lang w:eastAsia="es-ES"/>
        </w:rPr>
        <w:t xml:space="preserve">Es preciso, sin embargo, realizar una lectura cautelosa ante la actual divergencia de tendencias que estamos monitoreando entre las hipotecas y las compraventas. Mientras observamos este crecimiento sólido y continuado en la firma de hipotecas, el mercado de compraventas presenta una dinámica notablemente más contenida. </w:t>
      </w:r>
    </w:p>
    <w:p w14:paraId="2D733AC5" w14:textId="77777777" w:rsidR="00B50853" w:rsidRDefault="00B50853" w:rsidP="00FB2646">
      <w:pPr>
        <w:spacing w:after="0" w:line="240" w:lineRule="auto"/>
        <w:rPr>
          <w:rFonts w:ascii="Muli" w:eastAsia="Aptos" w:hAnsi="Muli" w:cs="Times New Roman"/>
          <w:sz w:val="24"/>
          <w:szCs w:val="24"/>
          <w:lang w:eastAsia="es-ES"/>
        </w:rPr>
      </w:pPr>
    </w:p>
    <w:p w14:paraId="60B20A56" w14:textId="77A91ABA" w:rsidR="009614A9" w:rsidRDefault="00FB2646" w:rsidP="00FB2646">
      <w:pPr>
        <w:spacing w:after="0" w:line="240" w:lineRule="auto"/>
        <w:rPr>
          <w:rFonts w:ascii="Muli" w:eastAsia="Aptos" w:hAnsi="Muli" w:cs="Times New Roman"/>
          <w:sz w:val="24"/>
          <w:szCs w:val="24"/>
          <w:lang w:eastAsia="es-ES"/>
        </w:rPr>
      </w:pPr>
      <w:r w:rsidRPr="00FB2646">
        <w:rPr>
          <w:rFonts w:ascii="Muli" w:eastAsia="Aptos" w:hAnsi="Muli" w:cs="Times New Roman"/>
          <w:sz w:val="24"/>
          <w:szCs w:val="24"/>
          <w:lang w:eastAsia="es-ES"/>
        </w:rPr>
        <w:t xml:space="preserve">Estamos ante un punto de inflexión donde la actividad hipotecaria se mantiene en niveles de fortaleza, pero donde las dinámicas de cierre de operaciones de compraventa ya no van de la mano en términos de crecimiento acelerado. Este </w:t>
      </w:r>
      <w:r w:rsidRPr="00FB2646">
        <w:rPr>
          <w:rFonts w:ascii="Muli" w:eastAsia="Aptos" w:hAnsi="Muli" w:cs="Times New Roman"/>
          <w:sz w:val="24"/>
          <w:szCs w:val="24"/>
          <w:lang w:eastAsia="es-ES"/>
        </w:rPr>
        <w:lastRenderedPageBreak/>
        <w:t>fenómeno de desacoplamiento podría estar señalando una mayor dificultad para acceder al primer mercado o una prudencia extrema por parte de los vendedores, ajustando sus expectativas al alza. El mercado español parece estar entrando en una fase de ajuste fino, donde la solidez financiera de los compradores será, en última instancia, el factor determinante para mantener este dinamismo en lo que resta de año.</w:t>
      </w:r>
    </w:p>
    <w:p w14:paraId="07FD4B0B" w14:textId="77777777" w:rsidR="00BD0E13" w:rsidRDefault="00BD0E13" w:rsidP="00FB2646">
      <w:pPr>
        <w:spacing w:after="0" w:line="240" w:lineRule="auto"/>
        <w:rPr>
          <w:rFonts w:ascii="Muli" w:eastAsia="Aptos" w:hAnsi="Muli" w:cs="Times New Roman"/>
          <w:sz w:val="24"/>
          <w:szCs w:val="24"/>
          <w:lang w:eastAsia="es-ES"/>
        </w:rPr>
      </w:pPr>
    </w:p>
    <w:p w14:paraId="4A855A3E" w14:textId="5108D594" w:rsidR="00BD0E13" w:rsidRDefault="00E857AD" w:rsidP="00FB2646">
      <w:pPr>
        <w:spacing w:after="0" w:line="240" w:lineRule="auto"/>
        <w:rPr>
          <w:rFonts w:ascii="Muli" w:eastAsia="Aptos" w:hAnsi="Muli" w:cs="Times New Roman"/>
          <w:sz w:val="24"/>
          <w:szCs w:val="24"/>
          <w:lang w:eastAsia="es-ES"/>
        </w:rPr>
      </w:pPr>
      <w:r>
        <w:rPr>
          <w:rFonts w:ascii="Muli" w:eastAsia="Aptos" w:hAnsi="Muli" w:cs="Times New Roman"/>
          <w:sz w:val="24"/>
          <w:szCs w:val="24"/>
          <w:lang w:eastAsia="es-ES"/>
        </w:rPr>
        <w:t xml:space="preserve">No hay que olvidarse de los cambios de hipotecas. </w:t>
      </w:r>
      <w:r w:rsidR="00BD0E13">
        <w:rPr>
          <w:rFonts w:ascii="Muli" w:eastAsia="Aptos" w:hAnsi="Muli" w:cs="Times New Roman"/>
          <w:sz w:val="24"/>
          <w:szCs w:val="24"/>
          <w:lang w:eastAsia="es-ES"/>
        </w:rPr>
        <w:t>En este mes</w:t>
      </w:r>
      <w:r>
        <w:rPr>
          <w:rFonts w:ascii="Muli" w:eastAsia="Aptos" w:hAnsi="Muli" w:cs="Times New Roman"/>
          <w:sz w:val="24"/>
          <w:szCs w:val="24"/>
          <w:lang w:eastAsia="es-ES"/>
        </w:rPr>
        <w:t xml:space="preserve"> de marzo</w:t>
      </w:r>
      <w:r w:rsidR="00BD0E13">
        <w:rPr>
          <w:rFonts w:ascii="Muli" w:eastAsia="Aptos" w:hAnsi="Muli" w:cs="Times New Roman"/>
          <w:sz w:val="24"/>
          <w:szCs w:val="24"/>
          <w:lang w:eastAsia="es-ES"/>
        </w:rPr>
        <w:t xml:space="preserve"> los datos de subrogación han caído</w:t>
      </w:r>
      <w:r w:rsidR="002B2CD8">
        <w:rPr>
          <w:rFonts w:ascii="Muli" w:eastAsia="Aptos" w:hAnsi="Muli" w:cs="Times New Roman"/>
          <w:sz w:val="24"/>
          <w:szCs w:val="24"/>
          <w:lang w:eastAsia="es-ES"/>
        </w:rPr>
        <w:t xml:space="preserve"> un 28,3%</w:t>
      </w:r>
      <w:r w:rsidR="001C47AB">
        <w:rPr>
          <w:rFonts w:ascii="Muli" w:eastAsia="Aptos" w:hAnsi="Muli" w:cs="Times New Roman"/>
          <w:sz w:val="24"/>
          <w:szCs w:val="24"/>
          <w:lang w:eastAsia="es-ES"/>
        </w:rPr>
        <w:t xml:space="preserve">. Hay que tener en cuenta </w:t>
      </w:r>
      <w:r w:rsidR="00B50853">
        <w:rPr>
          <w:rFonts w:ascii="Muli" w:eastAsia="Aptos" w:hAnsi="Muli" w:cs="Times New Roman"/>
          <w:sz w:val="24"/>
          <w:szCs w:val="24"/>
          <w:lang w:eastAsia="es-ES"/>
        </w:rPr>
        <w:t>que</w:t>
      </w:r>
      <w:r w:rsidR="001C47AB">
        <w:rPr>
          <w:rFonts w:ascii="Muli" w:eastAsia="Aptos" w:hAnsi="Muli" w:cs="Times New Roman"/>
          <w:sz w:val="24"/>
          <w:szCs w:val="24"/>
          <w:lang w:eastAsia="es-ES"/>
        </w:rPr>
        <w:t xml:space="preserve"> estamos analizando los</w:t>
      </w:r>
      <w:r w:rsidR="002B2CD8">
        <w:rPr>
          <w:rFonts w:ascii="Muli" w:eastAsia="Aptos" w:hAnsi="Muli" w:cs="Times New Roman"/>
          <w:sz w:val="24"/>
          <w:szCs w:val="24"/>
          <w:lang w:eastAsia="es-ES"/>
        </w:rPr>
        <w:t xml:space="preserve"> datos </w:t>
      </w:r>
      <w:r w:rsidR="001C47AB">
        <w:rPr>
          <w:rFonts w:ascii="Muli" w:eastAsia="Aptos" w:hAnsi="Muli" w:cs="Times New Roman"/>
          <w:sz w:val="24"/>
          <w:szCs w:val="24"/>
          <w:lang w:eastAsia="es-ES"/>
        </w:rPr>
        <w:t xml:space="preserve">de marzo y los usuarios </w:t>
      </w:r>
      <w:r w:rsidR="00DD0257">
        <w:rPr>
          <w:rFonts w:ascii="Muli" w:eastAsia="Aptos" w:hAnsi="Muli" w:cs="Times New Roman"/>
          <w:sz w:val="24"/>
          <w:szCs w:val="24"/>
          <w:lang w:eastAsia="es-ES"/>
        </w:rPr>
        <w:t xml:space="preserve">aún </w:t>
      </w:r>
      <w:r w:rsidR="001C47AB">
        <w:rPr>
          <w:rFonts w:ascii="Muli" w:eastAsia="Aptos" w:hAnsi="Muli" w:cs="Times New Roman"/>
          <w:sz w:val="24"/>
          <w:szCs w:val="24"/>
          <w:lang w:eastAsia="es-ES"/>
        </w:rPr>
        <w:t xml:space="preserve">no han tenido </w:t>
      </w:r>
      <w:r w:rsidR="00C44278">
        <w:rPr>
          <w:rFonts w:ascii="Muli" w:eastAsia="Aptos" w:hAnsi="Muli" w:cs="Times New Roman"/>
          <w:sz w:val="24"/>
          <w:szCs w:val="24"/>
          <w:lang w:eastAsia="es-ES"/>
        </w:rPr>
        <w:t>tiempo de sufrir las consecuencias de la subida del euríbor</w:t>
      </w:r>
      <w:r w:rsidR="00DD0257">
        <w:rPr>
          <w:rFonts w:ascii="Muli" w:eastAsia="Aptos" w:hAnsi="Muli" w:cs="Times New Roman"/>
          <w:sz w:val="24"/>
          <w:szCs w:val="24"/>
          <w:lang w:eastAsia="es-ES"/>
        </w:rPr>
        <w:t>, que empezó precisamente ese mes</w:t>
      </w:r>
      <w:r w:rsidR="00C44278">
        <w:rPr>
          <w:rFonts w:ascii="Muli" w:eastAsia="Aptos" w:hAnsi="Muli" w:cs="Times New Roman"/>
          <w:sz w:val="24"/>
          <w:szCs w:val="24"/>
          <w:lang w:eastAsia="es-ES"/>
        </w:rPr>
        <w:t>. Esperamos que en los próximos</w:t>
      </w:r>
      <w:r w:rsidR="00693852">
        <w:rPr>
          <w:rFonts w:ascii="Muli" w:eastAsia="Aptos" w:hAnsi="Muli" w:cs="Times New Roman"/>
          <w:sz w:val="24"/>
          <w:szCs w:val="24"/>
          <w:lang w:eastAsia="es-ES"/>
        </w:rPr>
        <w:t xml:space="preserve"> datos del</w:t>
      </w:r>
      <w:r w:rsidR="00C44278">
        <w:rPr>
          <w:rFonts w:ascii="Muli" w:eastAsia="Aptos" w:hAnsi="Muli" w:cs="Times New Roman"/>
          <w:sz w:val="24"/>
          <w:szCs w:val="24"/>
          <w:lang w:eastAsia="es-ES"/>
        </w:rPr>
        <w:t xml:space="preserve"> INE veamos reflejado el aumento de </w:t>
      </w:r>
      <w:r w:rsidR="00693852">
        <w:rPr>
          <w:rFonts w:ascii="Muli" w:eastAsia="Aptos" w:hAnsi="Muli" w:cs="Times New Roman"/>
          <w:sz w:val="24"/>
          <w:szCs w:val="24"/>
          <w:lang w:eastAsia="es-ES"/>
        </w:rPr>
        <w:t>esta cifra</w:t>
      </w:r>
      <w:r w:rsidR="00C44278">
        <w:rPr>
          <w:rFonts w:ascii="Muli" w:eastAsia="Aptos" w:hAnsi="Muli" w:cs="Times New Roman"/>
          <w:sz w:val="24"/>
          <w:szCs w:val="24"/>
          <w:lang w:eastAsia="es-ES"/>
        </w:rPr>
        <w:t>.</w:t>
      </w:r>
      <w:r w:rsidR="00B50853">
        <w:rPr>
          <w:rFonts w:ascii="Muli" w:eastAsia="Aptos" w:hAnsi="Muli" w:cs="Times New Roman"/>
          <w:sz w:val="24"/>
          <w:szCs w:val="24"/>
          <w:lang w:eastAsia="es-ES"/>
        </w:rPr>
        <w:t>”</w:t>
      </w:r>
    </w:p>
    <w:p w14:paraId="18951AF3" w14:textId="77777777" w:rsidR="009614A9" w:rsidRDefault="009614A9" w:rsidP="00FB2646">
      <w:pPr>
        <w:spacing w:after="0" w:line="240" w:lineRule="auto"/>
        <w:rPr>
          <w:rFonts w:ascii="Muli" w:eastAsia="Aptos" w:hAnsi="Muli" w:cs="Times New Roman"/>
          <w:sz w:val="24"/>
          <w:szCs w:val="24"/>
          <w:lang w:eastAsia="es-ES"/>
        </w:rPr>
      </w:pPr>
    </w:p>
    <w:p w14:paraId="28736855" w14:textId="5838D1E7" w:rsidR="00F21D69" w:rsidRPr="00F21D69" w:rsidRDefault="000A0699" w:rsidP="00FB2646">
      <w:pPr>
        <w:spacing w:after="0" w:line="240" w:lineRule="auto"/>
        <w:rPr>
          <w:rFonts w:ascii="Calibri" w:eastAsia="Aptos" w:hAnsi="Calibri" w:cs="Calibri"/>
          <w:color w:val="000000"/>
          <w:u w:val="single"/>
          <w14:ligatures w14:val="standardContextual"/>
        </w:rPr>
      </w:pPr>
      <w:r>
        <w:rPr>
          <w:rFonts w:ascii="Muli" w:eastAsia="Aptos" w:hAnsi="Muli" w:cs="Calibri"/>
          <w:color w:val="000000"/>
          <w:u w:val="single"/>
          <w14:ligatures w14:val="standardContextual"/>
        </w:rPr>
        <w:t>Laura Martínez</w:t>
      </w:r>
      <w:r w:rsidR="00F21D69" w:rsidRPr="00F21D69">
        <w:rPr>
          <w:rFonts w:ascii="Muli" w:eastAsia="Aptos" w:hAnsi="Muli" w:cs="Calibri"/>
          <w:color w:val="000000"/>
          <w:u w:val="single"/>
          <w14:ligatures w14:val="standardContextual"/>
        </w:rPr>
        <w:t xml:space="preserve">, </w:t>
      </w:r>
      <w:r w:rsidR="0053782B">
        <w:rPr>
          <w:rFonts w:ascii="Muli" w:eastAsia="Aptos" w:hAnsi="Muli" w:cs="Calibri"/>
          <w:color w:val="000000"/>
          <w:u w:val="single"/>
          <w14:ligatures w14:val="standardContextual"/>
        </w:rPr>
        <w:t>portavoz</w:t>
      </w:r>
      <w:r w:rsidR="00F21D69" w:rsidRPr="00F21D69">
        <w:rPr>
          <w:rFonts w:ascii="Muli" w:eastAsia="Aptos" w:hAnsi="Muli" w:cs="Calibri"/>
          <w:color w:val="000000"/>
          <w:u w:val="single"/>
          <w14:ligatures w14:val="standardContextual"/>
        </w:rPr>
        <w:t xml:space="preserve"> de iAhorro.</w:t>
      </w:r>
    </w:p>
    <w:p w14:paraId="6E765F9D" w14:textId="77777777" w:rsidR="00F21D69" w:rsidRPr="00F21D69" w:rsidRDefault="00F21D69" w:rsidP="00F21D69">
      <w:pPr>
        <w:spacing w:after="0" w:line="240" w:lineRule="auto"/>
        <w:rPr>
          <w:rFonts w:ascii="Muli" w:eastAsia="Aptos" w:hAnsi="Muli" w:cs="Calibri"/>
          <w:color w:val="000000"/>
          <w:u w:val="single"/>
          <w14:ligatures w14:val="standardContextual"/>
        </w:rPr>
      </w:pPr>
    </w:p>
    <w:p w14:paraId="4E3F08F7" w14:textId="77777777" w:rsidR="00F21D69" w:rsidRPr="00F21D69" w:rsidRDefault="00F21D69" w:rsidP="00F21D69">
      <w:pPr>
        <w:spacing w:after="0" w:line="240" w:lineRule="auto"/>
        <w:rPr>
          <w:rFonts w:ascii="Muli" w:eastAsia="Aptos" w:hAnsi="Muli" w:cs="Calibri"/>
          <w:color w:val="000000"/>
          <w:u w:val="single"/>
          <w14:ligatures w14:val="standardContextual"/>
        </w:rPr>
      </w:pPr>
    </w:p>
    <w:p w14:paraId="6347BA2E" w14:textId="77777777" w:rsidR="00F21D69" w:rsidRPr="00F21D69" w:rsidRDefault="00F21D69" w:rsidP="00F21D69">
      <w:pPr>
        <w:spacing w:line="240" w:lineRule="auto"/>
        <w:rPr>
          <w:rFonts w:ascii="Muli" w:eastAsia="Aptos" w:hAnsi="Muli" w:cs="Calibri"/>
          <w:color w:val="000000"/>
          <w:sz w:val="24"/>
          <w:szCs w:val="24"/>
          <w:lang w:val="es-ES_tradnl"/>
          <w14:ligatures w14:val="standardContextual"/>
        </w:rPr>
      </w:pPr>
      <w:r w:rsidRPr="00F21D69">
        <w:rPr>
          <w:rFonts w:ascii="Muli" w:eastAsia="Aptos" w:hAnsi="Muli" w:cs="Calibri"/>
          <w:b/>
          <w:bCs/>
          <w:color w:val="243962"/>
          <w:sz w:val="24"/>
          <w:szCs w:val="24"/>
          <w:lang w:val="es-ES_tradnl"/>
          <w14:ligatures w14:val="standardContextual"/>
        </w:rPr>
        <w:t xml:space="preserve">Si necesita más información o declaraciones en formato audiovisual: </w:t>
      </w:r>
      <w:r w:rsidRPr="00F21D69">
        <w:rPr>
          <w:rFonts w:ascii="Muli" w:eastAsia="Aptos" w:hAnsi="Muli" w:cs="Calibri"/>
          <w:color w:val="000000"/>
          <w:sz w:val="24"/>
          <w:szCs w:val="24"/>
          <w:lang w:val="es-ES_tradnl"/>
          <w14:ligatures w14:val="standardContextua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2016"/>
        <w:gridCol w:w="2555"/>
        <w:gridCol w:w="2521"/>
      </w:tblGrid>
      <w:tr w:rsidR="00F21D69" w:rsidRPr="00F21D69" w14:paraId="537AC3F9" w14:textId="77777777" w:rsidTr="00F21D69">
        <w:trPr>
          <w:trHeight w:val="132"/>
        </w:trPr>
        <w:tc>
          <w:tcPr>
            <w:tcW w:w="1980" w:type="dxa"/>
            <w:tcMar>
              <w:top w:w="0" w:type="dxa"/>
              <w:left w:w="108" w:type="dxa"/>
              <w:bottom w:w="0" w:type="dxa"/>
              <w:right w:w="108" w:type="dxa"/>
            </w:tcMar>
            <w:vAlign w:val="center"/>
            <w:hideMark/>
          </w:tcPr>
          <w:p w14:paraId="51BE575E" w14:textId="77777777" w:rsidR="00F21D69" w:rsidRPr="00F21D69" w:rsidRDefault="00F21D69" w:rsidP="00F21D69">
            <w:pPr>
              <w:tabs>
                <w:tab w:val="center" w:pos="4252"/>
                <w:tab w:val="right" w:pos="8504"/>
              </w:tabs>
              <w:spacing w:after="0" w:line="252" w:lineRule="auto"/>
              <w:rPr>
                <w:rFonts w:ascii="Aptos" w:eastAsia="Aptos" w:hAnsi="Aptos" w:cs="Aptos"/>
                <w:b/>
                <w:bCs/>
                <w:sz w:val="18"/>
                <w:szCs w:val="18"/>
              </w:rPr>
            </w:pPr>
            <w:r w:rsidRPr="00F21D69">
              <w:rPr>
                <w:rFonts w:ascii="Aptos" w:eastAsia="Aptos" w:hAnsi="Aptos" w:cs="Times New Roman"/>
                <w:noProof/>
              </w:rPr>
              <w:drawing>
                <wp:inline distT="0" distB="0" distL="0" distR="0" wp14:anchorId="1BD010CA" wp14:editId="1820CF3B">
                  <wp:extent cx="1143000" cy="563880"/>
                  <wp:effectExtent l="0" t="0" r="0" b="0"/>
                  <wp:docPr id="7"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tipo&#10;&#10;Descripción generada automáticamen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0" cy="563880"/>
                          </a:xfrm>
                          <a:prstGeom prst="rect">
                            <a:avLst/>
                          </a:prstGeom>
                          <a:noFill/>
                          <a:ln>
                            <a:noFill/>
                          </a:ln>
                        </pic:spPr>
                      </pic:pic>
                    </a:graphicData>
                  </a:graphic>
                </wp:inline>
              </w:drawing>
            </w:r>
          </w:p>
        </w:tc>
        <w:tc>
          <w:tcPr>
            <w:tcW w:w="2556" w:type="dxa"/>
            <w:tcMar>
              <w:top w:w="0" w:type="dxa"/>
              <w:left w:w="108" w:type="dxa"/>
              <w:bottom w:w="0" w:type="dxa"/>
              <w:right w:w="108" w:type="dxa"/>
            </w:tcMar>
            <w:vAlign w:val="center"/>
          </w:tcPr>
          <w:p w14:paraId="0E2A9721" w14:textId="77777777" w:rsidR="00F21D69" w:rsidRPr="00F21D69" w:rsidRDefault="00F21D69" w:rsidP="00F21D69">
            <w:pPr>
              <w:tabs>
                <w:tab w:val="center" w:pos="4252"/>
                <w:tab w:val="right" w:pos="8504"/>
              </w:tabs>
              <w:spacing w:after="0" w:line="252" w:lineRule="auto"/>
              <w:jc w:val="center"/>
              <w:rPr>
                <w:rFonts w:ascii="Aptos" w:eastAsia="Aptos" w:hAnsi="Aptos" w:cs="Times New Roman"/>
                <w:b/>
                <w:bCs/>
                <w:sz w:val="18"/>
                <w:szCs w:val="18"/>
              </w:rPr>
            </w:pPr>
          </w:p>
          <w:p w14:paraId="12F488A2" w14:textId="77777777" w:rsidR="00F21D69" w:rsidRPr="00F21D69" w:rsidRDefault="00F21D69" w:rsidP="00F21D69">
            <w:pPr>
              <w:tabs>
                <w:tab w:val="center" w:pos="4252"/>
                <w:tab w:val="right" w:pos="8504"/>
              </w:tabs>
              <w:spacing w:after="0" w:line="252" w:lineRule="auto"/>
              <w:jc w:val="center"/>
              <w:rPr>
                <w:rFonts w:ascii="Aptos" w:eastAsia="Aptos" w:hAnsi="Aptos" w:cs="Times New Roman"/>
                <w:b/>
                <w:bCs/>
                <w:sz w:val="18"/>
                <w:szCs w:val="18"/>
              </w:rPr>
            </w:pPr>
          </w:p>
          <w:p w14:paraId="4A2A78CE" w14:textId="77777777" w:rsidR="00F21D69" w:rsidRPr="00F21D69" w:rsidRDefault="00F21D69" w:rsidP="00F21D69">
            <w:pPr>
              <w:tabs>
                <w:tab w:val="center" w:pos="4252"/>
                <w:tab w:val="right" w:pos="8504"/>
              </w:tabs>
              <w:spacing w:after="0" w:line="252" w:lineRule="auto"/>
              <w:jc w:val="center"/>
              <w:rPr>
                <w:rFonts w:ascii="Aptos" w:eastAsia="Aptos" w:hAnsi="Aptos" w:cs="Times New Roman"/>
                <w:sz w:val="18"/>
                <w:szCs w:val="18"/>
              </w:rPr>
            </w:pPr>
            <w:r w:rsidRPr="00F21D69">
              <w:rPr>
                <w:rFonts w:ascii="Aptos" w:eastAsia="Aptos" w:hAnsi="Aptos" w:cs="Times New Roman"/>
                <w:b/>
                <w:bCs/>
                <w:sz w:val="18"/>
                <w:szCs w:val="18"/>
              </w:rPr>
              <w:t>Laura Martínez</w:t>
            </w:r>
            <w:r w:rsidRPr="00F21D69">
              <w:rPr>
                <w:rFonts w:ascii="Aptos" w:eastAsia="Aptos" w:hAnsi="Aptos" w:cs="Times New Roman"/>
                <w:sz w:val="18"/>
                <w:szCs w:val="18"/>
              </w:rPr>
              <w:t xml:space="preserve"> – 686 688 757</w:t>
            </w:r>
            <w:r w:rsidRPr="00F21D69">
              <w:rPr>
                <w:rFonts w:ascii="Aptos" w:eastAsia="Aptos" w:hAnsi="Aptos" w:cs="Times New Roman"/>
                <w:sz w:val="18"/>
                <w:szCs w:val="18"/>
              </w:rPr>
              <w:br/>
            </w:r>
            <w:hyperlink r:id="rId5" w:history="1">
              <w:r w:rsidRPr="00F21D69">
                <w:rPr>
                  <w:rFonts w:ascii="Aptos" w:eastAsia="Aptos" w:hAnsi="Aptos" w:cs="Times New Roman"/>
                  <w:color w:val="0563C1"/>
                  <w:sz w:val="18"/>
                  <w:szCs w:val="18"/>
                  <w:u w:val="single"/>
                </w:rPr>
                <w:t>laura.martinez@iahorro.com</w:t>
              </w:r>
            </w:hyperlink>
          </w:p>
          <w:p w14:paraId="5A695B63" w14:textId="77777777" w:rsidR="00F21D69" w:rsidRPr="00F21D69" w:rsidRDefault="00F21D69" w:rsidP="00F21D69">
            <w:pPr>
              <w:tabs>
                <w:tab w:val="center" w:pos="4252"/>
                <w:tab w:val="right" w:pos="8504"/>
              </w:tabs>
              <w:spacing w:after="0" w:line="252" w:lineRule="auto"/>
              <w:jc w:val="center"/>
              <w:rPr>
                <w:rFonts w:ascii="Aptos" w:eastAsia="Aptos" w:hAnsi="Aptos" w:cs="Times New Roman"/>
                <w:b/>
                <w:bCs/>
                <w:sz w:val="18"/>
                <w:szCs w:val="18"/>
                <w:lang w:val="pt-PT"/>
              </w:rPr>
            </w:pPr>
          </w:p>
          <w:p w14:paraId="16E3DC07" w14:textId="77777777" w:rsidR="00F21D69" w:rsidRPr="00F21D69" w:rsidRDefault="00F21D69" w:rsidP="00F21D69">
            <w:pPr>
              <w:tabs>
                <w:tab w:val="center" w:pos="4252"/>
                <w:tab w:val="right" w:pos="8504"/>
              </w:tabs>
              <w:spacing w:after="0" w:line="252" w:lineRule="auto"/>
              <w:jc w:val="center"/>
              <w:rPr>
                <w:rFonts w:ascii="Aptos" w:eastAsia="Aptos" w:hAnsi="Aptos" w:cs="Times New Roman"/>
                <w:b/>
                <w:bCs/>
                <w:sz w:val="18"/>
                <w:szCs w:val="18"/>
                <w:lang w:val="pt-PT"/>
              </w:rPr>
            </w:pPr>
          </w:p>
        </w:tc>
        <w:tc>
          <w:tcPr>
            <w:tcW w:w="2556" w:type="dxa"/>
            <w:tcMar>
              <w:top w:w="0" w:type="dxa"/>
              <w:left w:w="108" w:type="dxa"/>
              <w:bottom w:w="0" w:type="dxa"/>
              <w:right w:w="108" w:type="dxa"/>
            </w:tcMar>
            <w:vAlign w:val="center"/>
            <w:hideMark/>
          </w:tcPr>
          <w:p w14:paraId="3E7CC412" w14:textId="277B535E" w:rsidR="00F21D69" w:rsidRPr="00F21D69" w:rsidRDefault="00F21D69" w:rsidP="00F21D69">
            <w:pPr>
              <w:tabs>
                <w:tab w:val="center" w:pos="4252"/>
                <w:tab w:val="right" w:pos="8504"/>
              </w:tabs>
              <w:spacing w:after="0" w:line="252" w:lineRule="auto"/>
              <w:rPr>
                <w:rFonts w:ascii="Aptos" w:eastAsia="Aptos" w:hAnsi="Aptos" w:cs="Times New Roman"/>
                <w:b/>
                <w:bCs/>
                <w:sz w:val="18"/>
                <w:szCs w:val="18"/>
                <w:lang w:val="pt-PT"/>
              </w:rPr>
            </w:pPr>
          </w:p>
        </w:tc>
      </w:tr>
    </w:tbl>
    <w:p w14:paraId="27BD14B4" w14:textId="77777777" w:rsidR="00F21D69" w:rsidRPr="00F21D69" w:rsidRDefault="00F21D69" w:rsidP="00F21D69">
      <w:pPr>
        <w:spacing w:after="0" w:line="240" w:lineRule="auto"/>
        <w:rPr>
          <w:rFonts w:ascii="Calibri" w:eastAsia="Aptos" w:hAnsi="Calibri" w:cs="Calibri"/>
          <w:lang w:val="pt-PT"/>
          <w14:ligatures w14:val="standardContextual"/>
        </w:rPr>
      </w:pPr>
    </w:p>
    <w:p w14:paraId="1162343F" w14:textId="77777777" w:rsidR="00381D98" w:rsidRDefault="00381D98"/>
    <w:sectPr w:rsidR="00381D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li">
    <w:altName w:val="Calibri"/>
    <w:charset w:val="00"/>
    <w:family w:val="auto"/>
    <w:pitch w:val="variable"/>
    <w:sig w:usb0="A00000FF" w:usb1="5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D69"/>
    <w:rsid w:val="00091282"/>
    <w:rsid w:val="000A0699"/>
    <w:rsid w:val="000C5887"/>
    <w:rsid w:val="0014369C"/>
    <w:rsid w:val="001B0F85"/>
    <w:rsid w:val="001C47AB"/>
    <w:rsid w:val="001C5F22"/>
    <w:rsid w:val="001F33D3"/>
    <w:rsid w:val="002227C9"/>
    <w:rsid w:val="00283F20"/>
    <w:rsid w:val="002B2CD8"/>
    <w:rsid w:val="002B60BE"/>
    <w:rsid w:val="002D4CE9"/>
    <w:rsid w:val="00381D98"/>
    <w:rsid w:val="003B5503"/>
    <w:rsid w:val="004A3A09"/>
    <w:rsid w:val="0053782B"/>
    <w:rsid w:val="00565E1A"/>
    <w:rsid w:val="005A17D3"/>
    <w:rsid w:val="005A1D0D"/>
    <w:rsid w:val="006247E1"/>
    <w:rsid w:val="00637F8A"/>
    <w:rsid w:val="00647CD5"/>
    <w:rsid w:val="00693852"/>
    <w:rsid w:val="007335DB"/>
    <w:rsid w:val="007B4211"/>
    <w:rsid w:val="007B6086"/>
    <w:rsid w:val="008D4EBC"/>
    <w:rsid w:val="0090005E"/>
    <w:rsid w:val="00950EB2"/>
    <w:rsid w:val="009614A9"/>
    <w:rsid w:val="0096648B"/>
    <w:rsid w:val="00B50853"/>
    <w:rsid w:val="00BC4C4A"/>
    <w:rsid w:val="00BC6FA5"/>
    <w:rsid w:val="00BD0E13"/>
    <w:rsid w:val="00BD20F1"/>
    <w:rsid w:val="00BE09DC"/>
    <w:rsid w:val="00C44278"/>
    <w:rsid w:val="00D103EA"/>
    <w:rsid w:val="00DD0257"/>
    <w:rsid w:val="00E3040D"/>
    <w:rsid w:val="00E664CB"/>
    <w:rsid w:val="00E857AD"/>
    <w:rsid w:val="00EA3F5A"/>
    <w:rsid w:val="00EC3A60"/>
    <w:rsid w:val="00F21D69"/>
    <w:rsid w:val="00F469B0"/>
    <w:rsid w:val="00FB26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07041"/>
  <w15:chartTrackingRefBased/>
  <w15:docId w15:val="{03CE4DFA-52A0-46A6-8DBD-CDC8A19D1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21D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21D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21D6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21D6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21D6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21D6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21D6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21D6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21D6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21D6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21D6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21D6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21D6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21D6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21D6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21D6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21D6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21D69"/>
    <w:rPr>
      <w:rFonts w:eastAsiaTheme="majorEastAsia" w:cstheme="majorBidi"/>
      <w:color w:val="272727" w:themeColor="text1" w:themeTint="D8"/>
    </w:rPr>
  </w:style>
  <w:style w:type="paragraph" w:styleId="Ttulo">
    <w:name w:val="Title"/>
    <w:basedOn w:val="Normal"/>
    <w:next w:val="Normal"/>
    <w:link w:val="TtuloCar"/>
    <w:uiPriority w:val="10"/>
    <w:qFormat/>
    <w:rsid w:val="00F21D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21D6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21D6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21D6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21D69"/>
    <w:pPr>
      <w:spacing w:before="160"/>
      <w:jc w:val="center"/>
    </w:pPr>
    <w:rPr>
      <w:i/>
      <w:iCs/>
      <w:color w:val="404040" w:themeColor="text1" w:themeTint="BF"/>
    </w:rPr>
  </w:style>
  <w:style w:type="character" w:customStyle="1" w:styleId="CitaCar">
    <w:name w:val="Cita Car"/>
    <w:basedOn w:val="Fuentedeprrafopredeter"/>
    <w:link w:val="Cita"/>
    <w:uiPriority w:val="29"/>
    <w:rsid w:val="00F21D69"/>
    <w:rPr>
      <w:i/>
      <w:iCs/>
      <w:color w:val="404040" w:themeColor="text1" w:themeTint="BF"/>
    </w:rPr>
  </w:style>
  <w:style w:type="paragraph" w:styleId="Prrafodelista">
    <w:name w:val="List Paragraph"/>
    <w:basedOn w:val="Normal"/>
    <w:uiPriority w:val="34"/>
    <w:qFormat/>
    <w:rsid w:val="00F21D69"/>
    <w:pPr>
      <w:ind w:left="720"/>
      <w:contextualSpacing/>
    </w:pPr>
  </w:style>
  <w:style w:type="character" w:styleId="nfasisintenso">
    <w:name w:val="Intense Emphasis"/>
    <w:basedOn w:val="Fuentedeprrafopredeter"/>
    <w:uiPriority w:val="21"/>
    <w:qFormat/>
    <w:rsid w:val="00F21D69"/>
    <w:rPr>
      <w:i/>
      <w:iCs/>
      <w:color w:val="0F4761" w:themeColor="accent1" w:themeShade="BF"/>
    </w:rPr>
  </w:style>
  <w:style w:type="paragraph" w:styleId="Citadestacada">
    <w:name w:val="Intense Quote"/>
    <w:basedOn w:val="Normal"/>
    <w:next w:val="Normal"/>
    <w:link w:val="CitadestacadaCar"/>
    <w:uiPriority w:val="30"/>
    <w:qFormat/>
    <w:rsid w:val="00F21D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21D69"/>
    <w:rPr>
      <w:i/>
      <w:iCs/>
      <w:color w:val="0F4761" w:themeColor="accent1" w:themeShade="BF"/>
    </w:rPr>
  </w:style>
  <w:style w:type="character" w:styleId="Referenciaintensa">
    <w:name w:val="Intense Reference"/>
    <w:basedOn w:val="Fuentedeprrafopredeter"/>
    <w:uiPriority w:val="32"/>
    <w:qFormat/>
    <w:rsid w:val="00F21D69"/>
    <w:rPr>
      <w:b/>
      <w:bCs/>
      <w:smallCaps/>
      <w:color w:val="0F4761" w:themeColor="accent1" w:themeShade="BF"/>
      <w:spacing w:val="5"/>
    </w:rPr>
  </w:style>
  <w:style w:type="character" w:styleId="Hipervnculo">
    <w:name w:val="Hyperlink"/>
    <w:basedOn w:val="Fuentedeprrafopredeter"/>
    <w:uiPriority w:val="99"/>
    <w:unhideWhenUsed/>
    <w:rsid w:val="00F21D69"/>
    <w:rPr>
      <w:color w:val="467886" w:themeColor="hyperlink"/>
      <w:u w:val="single"/>
    </w:rPr>
  </w:style>
  <w:style w:type="character" w:styleId="Mencinsinresolver">
    <w:name w:val="Unresolved Mention"/>
    <w:basedOn w:val="Fuentedeprrafopredeter"/>
    <w:uiPriority w:val="99"/>
    <w:semiHidden/>
    <w:unhideWhenUsed/>
    <w:rsid w:val="00F21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940159">
      <w:bodyDiv w:val="1"/>
      <w:marLeft w:val="0"/>
      <w:marRight w:val="0"/>
      <w:marTop w:val="0"/>
      <w:marBottom w:val="0"/>
      <w:divBdr>
        <w:top w:val="none" w:sz="0" w:space="0" w:color="auto"/>
        <w:left w:val="none" w:sz="0" w:space="0" w:color="auto"/>
        <w:bottom w:val="none" w:sz="0" w:space="0" w:color="auto"/>
        <w:right w:val="none" w:sz="0" w:space="0" w:color="auto"/>
      </w:divBdr>
    </w:div>
    <w:div w:id="472409256">
      <w:bodyDiv w:val="1"/>
      <w:marLeft w:val="0"/>
      <w:marRight w:val="0"/>
      <w:marTop w:val="0"/>
      <w:marBottom w:val="0"/>
      <w:divBdr>
        <w:top w:val="none" w:sz="0" w:space="0" w:color="auto"/>
        <w:left w:val="none" w:sz="0" w:space="0" w:color="auto"/>
        <w:bottom w:val="none" w:sz="0" w:space="0" w:color="auto"/>
        <w:right w:val="none" w:sz="0" w:space="0" w:color="auto"/>
      </w:divBdr>
    </w:div>
    <w:div w:id="2102949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aura.martinez@iahorro.com"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Pages>
  <Words>589</Words>
  <Characters>3243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3825</CharactersWithSpaces>
  <SharedDoc>false</SharedDoc>
  <HLinks>
    <vt:vector size="12" baseType="variant">
      <vt:variant>
        <vt:i4>5439535</vt:i4>
      </vt:variant>
      <vt:variant>
        <vt:i4>3</vt:i4>
      </vt:variant>
      <vt:variant>
        <vt:i4>0</vt:i4>
      </vt:variant>
      <vt:variant>
        <vt:i4>5</vt:i4>
      </vt:variant>
      <vt:variant>
        <vt:lpwstr>mailto:noelia.perez@iahorro.com</vt:lpwstr>
      </vt:variant>
      <vt:variant>
        <vt:lpwstr/>
      </vt:variant>
      <vt:variant>
        <vt:i4>7602185</vt:i4>
      </vt:variant>
      <vt:variant>
        <vt:i4>0</vt:i4>
      </vt:variant>
      <vt:variant>
        <vt:i4>0</vt:i4>
      </vt:variant>
      <vt:variant>
        <vt:i4>5</vt:i4>
      </vt:variant>
      <vt:variant>
        <vt:lpwstr>mailto:laura.martinez@iahorro.com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Nerea Gastesi</cp:lastModifiedBy>
  <cp:revision>41</cp:revision>
  <dcterms:created xsi:type="dcterms:W3CDTF">2025-05-27T06:56:00Z</dcterms:created>
  <dcterms:modified xsi:type="dcterms:W3CDTF">2026-05-27T07:41:00Z</dcterms:modified>
</cp:coreProperties>
</file>