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DD736" w14:textId="77777777" w:rsidR="00DF53DB" w:rsidRDefault="00DF53DB" w:rsidP="00DF53DB">
      <w:pPr>
        <w:spacing w:after="160"/>
        <w:jc w:val="center"/>
        <w:rPr>
          <w:rFonts w:ascii="Times New Roman" w:hAnsi="Times New Roman" w:cs="Times New Roman"/>
          <w:color w:val="000000"/>
          <w:sz w:val="24"/>
          <w:szCs w:val="24"/>
        </w:rPr>
      </w:pPr>
      <w:bookmarkStart w:id="0" w:name="_Hlk203724381"/>
      <w:r>
        <w:rPr>
          <w:rStyle w:val="contentpasted0"/>
          <w:rFonts w:ascii="Muli" w:hAnsi="Muli"/>
          <w:b/>
          <w:bCs/>
          <w:color w:val="000000"/>
          <w:sz w:val="24"/>
          <w:szCs w:val="24"/>
        </w:rPr>
        <w:t>Análisis de los datos del INE, por Laura Martínez</w:t>
      </w:r>
    </w:p>
    <w:p w14:paraId="7725F18E" w14:textId="0258ACBE" w:rsidR="00DF53DB" w:rsidRPr="003D2EE2" w:rsidRDefault="00167B9F" w:rsidP="00DF53DB">
      <w:pPr>
        <w:jc w:val="center"/>
        <w:rPr>
          <w:rFonts w:ascii="Montserrat" w:hAnsi="Montserrat"/>
          <w:b/>
          <w:bCs/>
          <w:color w:val="243962"/>
          <w:sz w:val="28"/>
          <w:szCs w:val="28"/>
          <w:lang w:eastAsia="es-ES"/>
          <w14:ligatures w14:val="none"/>
        </w:rPr>
      </w:pPr>
      <w:r>
        <w:rPr>
          <w:rFonts w:ascii="Montserrat" w:hAnsi="Montserrat"/>
          <w:b/>
          <w:bCs/>
          <w:color w:val="243962"/>
          <w:sz w:val="28"/>
          <w:szCs w:val="28"/>
          <w:lang w:eastAsia="es-ES"/>
          <w14:ligatures w14:val="none"/>
        </w:rPr>
        <w:t>España registra en septiembre 46.120 firmas de hipotecas</w:t>
      </w:r>
      <w:r w:rsidR="00960C81">
        <w:rPr>
          <w:rFonts w:ascii="Montserrat" w:hAnsi="Montserrat"/>
          <w:b/>
          <w:bCs/>
          <w:color w:val="243962"/>
          <w:sz w:val="28"/>
          <w:szCs w:val="28"/>
          <w:lang w:eastAsia="es-ES"/>
          <w14:ligatures w14:val="none"/>
        </w:rPr>
        <w:t>, el dato</w:t>
      </w:r>
      <w:r w:rsidR="00C3168D">
        <w:rPr>
          <w:rFonts w:ascii="Montserrat" w:hAnsi="Montserrat"/>
          <w:b/>
          <w:bCs/>
          <w:color w:val="243962"/>
          <w:sz w:val="28"/>
          <w:szCs w:val="28"/>
          <w:lang w:eastAsia="es-ES"/>
          <w14:ligatures w14:val="none"/>
        </w:rPr>
        <w:t xml:space="preserve"> más alto del año</w:t>
      </w:r>
      <w:r w:rsidR="00960C81">
        <w:rPr>
          <w:rFonts w:ascii="Montserrat" w:hAnsi="Montserrat"/>
          <w:b/>
          <w:bCs/>
          <w:color w:val="243962"/>
          <w:sz w:val="28"/>
          <w:szCs w:val="28"/>
          <w:lang w:eastAsia="es-ES"/>
          <w14:ligatures w14:val="none"/>
        </w:rPr>
        <w:t>,</w:t>
      </w:r>
      <w:r w:rsidR="00C3168D">
        <w:rPr>
          <w:rFonts w:ascii="Montserrat" w:hAnsi="Montserrat"/>
          <w:b/>
          <w:bCs/>
          <w:color w:val="243962"/>
          <w:sz w:val="28"/>
          <w:szCs w:val="28"/>
          <w:lang w:eastAsia="es-ES"/>
          <w14:ligatures w14:val="none"/>
        </w:rPr>
        <w:t xml:space="preserve"> y </w:t>
      </w:r>
      <w:r w:rsidR="00960C81">
        <w:rPr>
          <w:rFonts w:ascii="Montserrat" w:hAnsi="Montserrat"/>
          <w:b/>
          <w:bCs/>
          <w:color w:val="243962"/>
          <w:sz w:val="28"/>
          <w:szCs w:val="28"/>
          <w:lang w:eastAsia="es-ES"/>
          <w14:ligatures w14:val="none"/>
        </w:rPr>
        <w:t>su</w:t>
      </w:r>
      <w:r w:rsidR="00C3168D">
        <w:rPr>
          <w:rFonts w:ascii="Montserrat" w:hAnsi="Montserrat"/>
          <w:b/>
          <w:bCs/>
          <w:color w:val="243962"/>
          <w:sz w:val="28"/>
          <w:szCs w:val="28"/>
          <w:lang w:eastAsia="es-ES"/>
          <w14:ligatures w14:val="none"/>
        </w:rPr>
        <w:t xml:space="preserve"> importe sigue subiendo: supera ya los 170.000 euros</w:t>
      </w:r>
      <w:r w:rsidR="00960C81">
        <w:rPr>
          <w:rFonts w:ascii="Montserrat" w:hAnsi="Montserrat"/>
          <w:b/>
          <w:bCs/>
          <w:color w:val="243962"/>
          <w:sz w:val="28"/>
          <w:szCs w:val="28"/>
          <w:lang w:eastAsia="es-ES"/>
          <w14:ligatures w14:val="none"/>
        </w:rPr>
        <w:t xml:space="preserve"> de media</w:t>
      </w:r>
    </w:p>
    <w:p w14:paraId="05B0C49C" w14:textId="77777777" w:rsidR="00DF53DB" w:rsidRDefault="00DF53DB" w:rsidP="00DF53DB">
      <w:pPr>
        <w:jc w:val="center"/>
        <w:rPr>
          <w:rFonts w:ascii="Montserrat" w:hAnsi="Montserrat"/>
          <w:b/>
          <w:bCs/>
          <w:color w:val="243962"/>
          <w:sz w:val="28"/>
          <w:szCs w:val="28"/>
          <w:lang w:eastAsia="es-ES"/>
          <w14:ligatures w14:val="none"/>
        </w:rPr>
      </w:pPr>
    </w:p>
    <w:p w14:paraId="69733710" w14:textId="77777777" w:rsidR="00DF53DB" w:rsidRDefault="00DF53DB" w:rsidP="00DF53DB">
      <w:pPr>
        <w:rPr>
          <w:rFonts w:ascii="Muli" w:hAnsi="Muli"/>
          <w:sz w:val="24"/>
          <w:szCs w:val="24"/>
        </w:rPr>
      </w:pPr>
    </w:p>
    <w:p w14:paraId="041448F8" w14:textId="0E7087B3" w:rsidR="00DF53DB" w:rsidRDefault="00DF53DB" w:rsidP="00DF53DB">
      <w:pPr>
        <w:rPr>
          <w:rFonts w:ascii="Muli" w:hAnsi="Muli"/>
          <w:sz w:val="24"/>
          <w:szCs w:val="24"/>
        </w:rPr>
      </w:pPr>
      <w:r w:rsidRPr="200BADFB">
        <w:rPr>
          <w:rFonts w:ascii="Muli" w:hAnsi="Muli"/>
          <w:sz w:val="24"/>
          <w:szCs w:val="24"/>
        </w:rPr>
        <w:t>Madrid</w:t>
      </w:r>
      <w:r>
        <w:rPr>
          <w:rFonts w:ascii="Muli" w:hAnsi="Muli"/>
          <w:sz w:val="24"/>
          <w:szCs w:val="24"/>
        </w:rPr>
        <w:t xml:space="preserve">, </w:t>
      </w:r>
      <w:r>
        <w:rPr>
          <w:rFonts w:ascii="Muli" w:hAnsi="Muli"/>
          <w:sz w:val="24"/>
          <w:szCs w:val="24"/>
        </w:rPr>
        <w:t>27</w:t>
      </w:r>
      <w:r>
        <w:rPr>
          <w:rFonts w:ascii="Muli" w:hAnsi="Muli"/>
          <w:sz w:val="24"/>
          <w:szCs w:val="24"/>
        </w:rPr>
        <w:t xml:space="preserve"> </w:t>
      </w:r>
      <w:r>
        <w:rPr>
          <w:rFonts w:ascii="Muli" w:hAnsi="Muli"/>
          <w:sz w:val="24"/>
          <w:szCs w:val="24"/>
        </w:rPr>
        <w:t>de noviembre</w:t>
      </w:r>
      <w:r>
        <w:rPr>
          <w:rFonts w:ascii="Muli" w:hAnsi="Muli"/>
          <w:sz w:val="24"/>
          <w:szCs w:val="24"/>
        </w:rPr>
        <w:t xml:space="preserve"> de 2025</w:t>
      </w:r>
    </w:p>
    <w:p w14:paraId="193FF1A4" w14:textId="40259414" w:rsidR="00DF53DB" w:rsidRDefault="00500E69" w:rsidP="00DF53DB">
      <w:pPr>
        <w:pStyle w:val="paragraph"/>
        <w:spacing w:before="240"/>
        <w:textAlignment w:val="baseline"/>
        <w:rPr>
          <w:rStyle w:val="normaltextrun"/>
          <w:rFonts w:ascii="Muli" w:hAnsi="Muli"/>
        </w:rPr>
      </w:pPr>
      <w:r>
        <w:rPr>
          <w:rStyle w:val="normaltextrun"/>
          <w:rFonts w:ascii="Muli" w:hAnsi="Muli"/>
        </w:rPr>
        <w:t>“</w:t>
      </w:r>
      <w:r w:rsidR="00842A5D">
        <w:rPr>
          <w:rStyle w:val="normaltextrun"/>
          <w:rFonts w:ascii="Muli" w:hAnsi="Muli"/>
        </w:rPr>
        <w:t xml:space="preserve">Pese a que el verano </w:t>
      </w:r>
      <w:r>
        <w:rPr>
          <w:rStyle w:val="normaltextrun"/>
          <w:rFonts w:ascii="Muli" w:hAnsi="Muli"/>
        </w:rPr>
        <w:t xml:space="preserve">podría </w:t>
      </w:r>
      <w:r w:rsidR="003B77DE">
        <w:rPr>
          <w:rStyle w:val="normaltextrun"/>
          <w:rFonts w:ascii="Muli" w:hAnsi="Muli"/>
        </w:rPr>
        <w:t>haber sido</w:t>
      </w:r>
      <w:r w:rsidR="00842A5D">
        <w:rPr>
          <w:rStyle w:val="normaltextrun"/>
          <w:rFonts w:ascii="Muli" w:hAnsi="Muli"/>
        </w:rPr>
        <w:t xml:space="preserve"> un punto de inflexión en lo que a firmas de hipotecas se refiere, los datos siguen siendo muy positivos y la tendencia</w:t>
      </w:r>
      <w:r w:rsidR="00C536E1">
        <w:rPr>
          <w:rStyle w:val="normaltextrun"/>
          <w:rFonts w:ascii="Muli" w:hAnsi="Muli"/>
        </w:rPr>
        <w:t xml:space="preserve"> en la ejecución de este tipo de operaciones continúa al alza. Según los datos publicados este jueves por el Instituto Nacional de Estadística (INE), correspondientes al mes de septiembre, se firmaron en España </w:t>
      </w:r>
      <w:r w:rsidR="00642CC6">
        <w:rPr>
          <w:rStyle w:val="normaltextrun"/>
          <w:rFonts w:ascii="Muli" w:hAnsi="Muli"/>
        </w:rPr>
        <w:t>ese mes un total de 46.120 operaciones hipotecarias, el dato más alto del año, y que supone un crecimiento del 12,24% respecto al valor registrado hace justo un año, en el noveno mes de 2024 (</w:t>
      </w:r>
      <w:r>
        <w:rPr>
          <w:rStyle w:val="normaltextrun"/>
          <w:rFonts w:ascii="Muli" w:hAnsi="Muli"/>
        </w:rPr>
        <w:t>41.089</w:t>
      </w:r>
      <w:r w:rsidR="00642CC6">
        <w:rPr>
          <w:rStyle w:val="normaltextrun"/>
          <w:rFonts w:ascii="Muli" w:hAnsi="Muli"/>
        </w:rPr>
        <w:t xml:space="preserve"> firmas).</w:t>
      </w:r>
    </w:p>
    <w:p w14:paraId="3498D9B3" w14:textId="77777777" w:rsidR="00835C3F" w:rsidRDefault="006701BD" w:rsidP="00DF53DB">
      <w:pPr>
        <w:pStyle w:val="paragraph"/>
        <w:spacing w:before="240"/>
        <w:textAlignment w:val="baseline"/>
        <w:rPr>
          <w:rStyle w:val="normaltextrun"/>
          <w:rFonts w:ascii="Muli" w:hAnsi="Muli"/>
        </w:rPr>
      </w:pPr>
      <w:r>
        <w:rPr>
          <w:rStyle w:val="normaltextrun"/>
          <w:rFonts w:ascii="Muli" w:hAnsi="Muli"/>
        </w:rPr>
        <w:t>E</w:t>
      </w:r>
      <w:r w:rsidRPr="006701BD">
        <w:rPr>
          <w:rStyle w:val="normaltextrun"/>
          <w:rFonts w:ascii="Muli" w:hAnsi="Muli"/>
        </w:rPr>
        <w:t>sta evolució</w:t>
      </w:r>
      <w:r>
        <w:rPr>
          <w:rStyle w:val="normaltextrun"/>
          <w:rFonts w:ascii="Muli" w:hAnsi="Muli"/>
        </w:rPr>
        <w:t>n</w:t>
      </w:r>
      <w:r w:rsidRPr="006701BD">
        <w:rPr>
          <w:rStyle w:val="normaltextrun"/>
          <w:rFonts w:ascii="Muli" w:hAnsi="Muli"/>
        </w:rPr>
        <w:t xml:space="preserve"> confirma un mercado dinámico, con un claro impulso de la demanda y con un comprador que sigue dispuesto a asumir importes cada vez mayores para acceder a</w:t>
      </w:r>
      <w:r w:rsidR="0043072D">
        <w:rPr>
          <w:rStyle w:val="normaltextrun"/>
          <w:rFonts w:ascii="Muli" w:hAnsi="Muli"/>
        </w:rPr>
        <w:t xml:space="preserve"> una</w:t>
      </w:r>
      <w:r w:rsidRPr="006701BD">
        <w:rPr>
          <w:rStyle w:val="normaltextrun"/>
          <w:rFonts w:ascii="Muli" w:hAnsi="Muli"/>
        </w:rPr>
        <w:t xml:space="preserve"> vivienda</w:t>
      </w:r>
      <w:r w:rsidR="0043072D">
        <w:rPr>
          <w:rStyle w:val="normaltextrun"/>
          <w:rFonts w:ascii="Muli" w:hAnsi="Muli"/>
        </w:rPr>
        <w:t xml:space="preserve"> en propiedad</w:t>
      </w:r>
      <w:r w:rsidRPr="006701BD">
        <w:rPr>
          <w:rStyle w:val="normaltextrun"/>
          <w:rFonts w:ascii="Muli" w:hAnsi="Muli"/>
        </w:rPr>
        <w:t>.</w:t>
      </w:r>
      <w:r>
        <w:rPr>
          <w:rStyle w:val="normaltextrun"/>
          <w:rFonts w:ascii="Muli" w:hAnsi="Muli"/>
        </w:rPr>
        <w:t xml:space="preserve"> Tanto es así que, según el INE,</w:t>
      </w:r>
      <w:r w:rsidRPr="006701BD">
        <w:rPr>
          <w:rStyle w:val="normaltextrun"/>
          <w:rFonts w:ascii="Muli" w:hAnsi="Muli"/>
        </w:rPr>
        <w:t xml:space="preserve"> </w:t>
      </w:r>
      <w:r w:rsidR="0043072D">
        <w:rPr>
          <w:rStyle w:val="normaltextrun"/>
          <w:rFonts w:ascii="Muli" w:hAnsi="Muli"/>
        </w:rPr>
        <w:t>e</w:t>
      </w:r>
      <w:r w:rsidRPr="006701BD">
        <w:rPr>
          <w:rStyle w:val="normaltextrun"/>
          <w:rFonts w:ascii="Muli" w:hAnsi="Muli"/>
        </w:rPr>
        <w:t>l importe medio de las hipotecas supera ya los 170.000 euros</w:t>
      </w:r>
      <w:r>
        <w:rPr>
          <w:rStyle w:val="normaltextrun"/>
          <w:rFonts w:ascii="Muli" w:hAnsi="Muli"/>
        </w:rPr>
        <w:t xml:space="preserve"> (se situó en septiembre en 171.</w:t>
      </w:r>
      <w:r w:rsidR="0043072D">
        <w:rPr>
          <w:rStyle w:val="normaltextrun"/>
          <w:rFonts w:ascii="Muli" w:hAnsi="Muli"/>
        </w:rPr>
        <w:t>612 euros de media)</w:t>
      </w:r>
      <w:r w:rsidRPr="006701BD">
        <w:rPr>
          <w:rStyle w:val="normaltextrun"/>
          <w:rFonts w:ascii="Muli" w:hAnsi="Muli"/>
        </w:rPr>
        <w:t xml:space="preserve">, </w:t>
      </w:r>
      <w:r w:rsidR="0043072D">
        <w:rPr>
          <w:rStyle w:val="normaltextrun"/>
          <w:rFonts w:ascii="Muli" w:hAnsi="Muli"/>
        </w:rPr>
        <w:t>lo que refleja</w:t>
      </w:r>
      <w:r w:rsidRPr="006701BD">
        <w:rPr>
          <w:rStyle w:val="normaltextrun"/>
          <w:rFonts w:ascii="Muli" w:hAnsi="Muli"/>
        </w:rPr>
        <w:t xml:space="preserve"> tanto el encarecimiento progresivo de la vivienda como la necesidad de financiación más elevada por parte de los hogares</w:t>
      </w:r>
      <w:r w:rsidR="0043072D">
        <w:rPr>
          <w:rStyle w:val="normaltextrun"/>
          <w:rFonts w:ascii="Muli" w:hAnsi="Muli"/>
        </w:rPr>
        <w:t xml:space="preserve"> debido a ese encarecimiento. </w:t>
      </w:r>
    </w:p>
    <w:p w14:paraId="704C8ADB" w14:textId="77777777" w:rsidR="003B77DE" w:rsidRDefault="006701BD" w:rsidP="00437AC9">
      <w:pPr>
        <w:pStyle w:val="paragraph"/>
        <w:spacing w:before="240"/>
        <w:textAlignment w:val="baseline"/>
        <w:rPr>
          <w:rStyle w:val="normaltextrun"/>
          <w:rFonts w:ascii="Muli" w:hAnsi="Muli"/>
        </w:rPr>
      </w:pPr>
      <w:r w:rsidRPr="006701BD">
        <w:rPr>
          <w:rStyle w:val="normaltextrun"/>
          <w:rFonts w:ascii="Muli" w:hAnsi="Muli"/>
        </w:rPr>
        <w:t>Este aumento</w:t>
      </w:r>
      <w:r w:rsidR="00835C3F">
        <w:rPr>
          <w:rStyle w:val="normaltextrun"/>
          <w:rFonts w:ascii="Muli" w:hAnsi="Muli"/>
        </w:rPr>
        <w:t xml:space="preserve"> de la</w:t>
      </w:r>
      <w:r w:rsidR="003B77DE">
        <w:rPr>
          <w:rStyle w:val="normaltextrun"/>
          <w:rFonts w:ascii="Muli" w:hAnsi="Muli"/>
        </w:rPr>
        <w:t xml:space="preserve"> cuantía de la</w:t>
      </w:r>
      <w:r w:rsidR="00835C3F">
        <w:rPr>
          <w:rStyle w:val="normaltextrun"/>
          <w:rFonts w:ascii="Muli" w:hAnsi="Muli"/>
        </w:rPr>
        <w:t xml:space="preserve"> hipoteca media</w:t>
      </w:r>
      <w:r w:rsidR="0043072D">
        <w:rPr>
          <w:rStyle w:val="normaltextrun"/>
          <w:rFonts w:ascii="Muli" w:hAnsi="Muli"/>
        </w:rPr>
        <w:t>, de hasta un 14</w:t>
      </w:r>
      <w:r w:rsidR="00835C3F">
        <w:rPr>
          <w:rStyle w:val="normaltextrun"/>
          <w:rFonts w:ascii="Muli" w:hAnsi="Muli"/>
        </w:rPr>
        <w:t>,1% interanual,</w:t>
      </w:r>
      <w:r w:rsidRPr="006701BD">
        <w:rPr>
          <w:rStyle w:val="normaltextrun"/>
          <w:rFonts w:ascii="Muli" w:hAnsi="Muli"/>
        </w:rPr>
        <w:t xml:space="preserve"> obliga al comprador a analizar con más detalle las condiciones de cada oferta</w:t>
      </w:r>
      <w:r w:rsidR="00835C3F">
        <w:rPr>
          <w:rStyle w:val="normaltextrun"/>
          <w:rFonts w:ascii="Muli" w:hAnsi="Muli"/>
        </w:rPr>
        <w:t xml:space="preserve">: </w:t>
      </w:r>
      <w:r w:rsidRPr="006701BD">
        <w:rPr>
          <w:rStyle w:val="normaltextrun"/>
          <w:rFonts w:ascii="Muli" w:hAnsi="Muli"/>
        </w:rPr>
        <w:t xml:space="preserve">pequeñas variaciones en el tipo de interés, las comisiones o </w:t>
      </w:r>
      <w:r w:rsidR="00835C3F">
        <w:rPr>
          <w:rStyle w:val="normaltextrun"/>
          <w:rFonts w:ascii="Muli" w:hAnsi="Muli"/>
        </w:rPr>
        <w:t>las vinculaciones de diferentes productos</w:t>
      </w:r>
      <w:r w:rsidRPr="006701BD">
        <w:rPr>
          <w:rStyle w:val="normaltextrun"/>
          <w:rFonts w:ascii="Muli" w:hAnsi="Muli"/>
        </w:rPr>
        <w:t xml:space="preserve"> pueden traducirse en diferencias significativas en la cuota mensual y en el coste total del préstamo.</w:t>
      </w:r>
      <w:r w:rsidR="003B77DE">
        <w:rPr>
          <w:rStyle w:val="normaltextrun"/>
          <w:rFonts w:ascii="Muli" w:hAnsi="Muli"/>
        </w:rPr>
        <w:t xml:space="preserve"> </w:t>
      </w:r>
    </w:p>
    <w:p w14:paraId="79EAA458" w14:textId="6D9460A5" w:rsidR="003B77DE" w:rsidRDefault="00272707" w:rsidP="00437AC9">
      <w:pPr>
        <w:pStyle w:val="paragraph"/>
        <w:spacing w:before="240"/>
        <w:textAlignment w:val="baseline"/>
        <w:rPr>
          <w:rStyle w:val="normaltextrun"/>
          <w:rFonts w:ascii="Muli" w:hAnsi="Muli"/>
        </w:rPr>
      </w:pPr>
      <w:r>
        <w:rPr>
          <w:rStyle w:val="normaltextrun"/>
          <w:rFonts w:ascii="Muli" w:hAnsi="Muli"/>
        </w:rPr>
        <w:t>De este modo, p</w:t>
      </w:r>
      <w:r w:rsidRPr="00272707">
        <w:rPr>
          <w:rStyle w:val="normaltextrun"/>
          <w:rFonts w:ascii="Muli" w:hAnsi="Muli"/>
        </w:rPr>
        <w:t xml:space="preserve">ese a </w:t>
      </w:r>
      <w:r w:rsidRPr="00272707">
        <w:rPr>
          <w:rStyle w:val="normaltextrun"/>
          <w:rFonts w:ascii="Muli" w:hAnsi="Muli"/>
        </w:rPr>
        <w:t>que,</w:t>
      </w:r>
      <w:r>
        <w:rPr>
          <w:rStyle w:val="normaltextrun"/>
          <w:rFonts w:ascii="Muli" w:hAnsi="Muli"/>
        </w:rPr>
        <w:t xml:space="preserve"> según los datos publicados por el organismo oficial,</w:t>
      </w:r>
      <w:r w:rsidRPr="00272707">
        <w:rPr>
          <w:rStyle w:val="normaltextrun"/>
          <w:rFonts w:ascii="Muli" w:hAnsi="Muli"/>
        </w:rPr>
        <w:t xml:space="preserve"> el tipo de interés medio</w:t>
      </w:r>
      <w:r>
        <w:rPr>
          <w:rStyle w:val="normaltextrun"/>
          <w:rFonts w:ascii="Muli" w:hAnsi="Muli"/>
        </w:rPr>
        <w:t xml:space="preserve"> de las hipotecas firmadas en septiembre sigue</w:t>
      </w:r>
      <w:r w:rsidRPr="00272707">
        <w:rPr>
          <w:rStyle w:val="normaltextrun"/>
          <w:rFonts w:ascii="Muli" w:hAnsi="Muli"/>
        </w:rPr>
        <w:t xml:space="preserve"> estable en niveles relativamente moderados, el entorno financiero sigue siendo exigente. </w:t>
      </w:r>
      <w:r w:rsidR="00437AC9" w:rsidRPr="00437AC9">
        <w:rPr>
          <w:rStyle w:val="normaltextrun"/>
          <w:rFonts w:ascii="Muli" w:hAnsi="Muli"/>
        </w:rPr>
        <w:t xml:space="preserve">Según los datos del INE, el tipo medio al inicio de las hipotecas constituidas sobre viviendas se situó en el 2,85% en septiembre, </w:t>
      </w:r>
      <w:r w:rsidR="003B77DE">
        <w:rPr>
          <w:rStyle w:val="normaltextrun"/>
          <w:rFonts w:ascii="Muli" w:hAnsi="Muli"/>
        </w:rPr>
        <w:t xml:space="preserve">un porcentaje que baja un poco en las hipotecas fijas (2,83%) y sube levemente en las hipotecas variables (2,89% TIN), </w:t>
      </w:r>
      <w:r w:rsidR="00437AC9" w:rsidRPr="00437AC9">
        <w:rPr>
          <w:rStyle w:val="normaltextrun"/>
          <w:rFonts w:ascii="Muli" w:hAnsi="Muli"/>
        </w:rPr>
        <w:t>pero este valor se escapa en parte de la realidad a la que se enfrentan muchos hogares.</w:t>
      </w:r>
      <w:r w:rsidR="005B6FD4">
        <w:rPr>
          <w:rStyle w:val="normaltextrun"/>
          <w:rFonts w:ascii="Muli" w:hAnsi="Muli"/>
        </w:rPr>
        <w:t xml:space="preserve"> </w:t>
      </w:r>
    </w:p>
    <w:p w14:paraId="1539B40C" w14:textId="40CA55F6" w:rsidR="00437AC9" w:rsidRPr="00437AC9" w:rsidRDefault="005B6FD4" w:rsidP="00437AC9">
      <w:pPr>
        <w:pStyle w:val="paragraph"/>
        <w:spacing w:before="240"/>
        <w:textAlignment w:val="baseline"/>
        <w:rPr>
          <w:rStyle w:val="normaltextrun"/>
          <w:rFonts w:ascii="Muli" w:hAnsi="Muli"/>
        </w:rPr>
      </w:pPr>
      <w:r>
        <w:rPr>
          <w:rStyle w:val="normaltextrun"/>
          <w:rFonts w:ascii="Muli" w:hAnsi="Muli"/>
        </w:rPr>
        <w:t>En iAhorro vemos todos los meses que, e</w:t>
      </w:r>
      <w:r w:rsidR="00437AC9" w:rsidRPr="00437AC9">
        <w:rPr>
          <w:rStyle w:val="normaltextrun"/>
          <w:rFonts w:ascii="Muli" w:hAnsi="Muli"/>
        </w:rPr>
        <w:t xml:space="preserve">n la práctica, numerosos compradores con perfiles solventes </w:t>
      </w:r>
      <w:r>
        <w:rPr>
          <w:rStyle w:val="normaltextrun"/>
          <w:rFonts w:ascii="Muli" w:hAnsi="Muli"/>
        </w:rPr>
        <w:t>(</w:t>
      </w:r>
      <w:r w:rsidR="003B77DE">
        <w:rPr>
          <w:rStyle w:val="normaltextrun"/>
          <w:rFonts w:ascii="Muli" w:hAnsi="Muli"/>
        </w:rPr>
        <w:t xml:space="preserve">con </w:t>
      </w:r>
      <w:r w:rsidR="00437AC9" w:rsidRPr="00437AC9">
        <w:rPr>
          <w:rStyle w:val="normaltextrun"/>
          <w:rFonts w:ascii="Muli" w:hAnsi="Muli"/>
        </w:rPr>
        <w:t>estabilidad laboral</w:t>
      </w:r>
      <w:r>
        <w:rPr>
          <w:rStyle w:val="normaltextrun"/>
          <w:rFonts w:ascii="Muli" w:hAnsi="Muli"/>
        </w:rPr>
        <w:t>, ahorros suficientes y</w:t>
      </w:r>
      <w:r w:rsidR="00437AC9" w:rsidRPr="00437AC9">
        <w:rPr>
          <w:rStyle w:val="normaltextrun"/>
          <w:rFonts w:ascii="Muli" w:hAnsi="Muli"/>
        </w:rPr>
        <w:t xml:space="preserve"> bajo nivel de endeudamiento</w:t>
      </w:r>
      <w:r>
        <w:rPr>
          <w:rStyle w:val="normaltextrun"/>
          <w:rFonts w:ascii="Muli" w:hAnsi="Muli"/>
        </w:rPr>
        <w:t>)</w:t>
      </w:r>
      <w:r w:rsidR="00437AC9" w:rsidRPr="00437AC9">
        <w:rPr>
          <w:rStyle w:val="normaltextrun"/>
          <w:rFonts w:ascii="Muli" w:hAnsi="Muli"/>
        </w:rPr>
        <w:t xml:space="preserve"> pueden acceder hoy a tipos sensiblemente más bajos</w:t>
      </w:r>
      <w:r w:rsidR="003B77DE">
        <w:rPr>
          <w:rStyle w:val="normaltextrun"/>
          <w:rFonts w:ascii="Muli" w:hAnsi="Muli"/>
        </w:rPr>
        <w:t xml:space="preserve"> que los que refleja el INE,</w:t>
      </w:r>
      <w:r w:rsidR="00437AC9" w:rsidRPr="00437AC9">
        <w:rPr>
          <w:rStyle w:val="normaltextrun"/>
          <w:rFonts w:ascii="Muli" w:hAnsi="Muli"/>
        </w:rPr>
        <w:t xml:space="preserve"> </w:t>
      </w:r>
      <w:r>
        <w:rPr>
          <w:rStyle w:val="normaltextrun"/>
          <w:rFonts w:ascii="Muli" w:hAnsi="Muli"/>
        </w:rPr>
        <w:t>cercanos al 2</w:t>
      </w:r>
      <w:r w:rsidR="00437AC9" w:rsidRPr="00437AC9">
        <w:rPr>
          <w:rStyle w:val="normaltextrun"/>
          <w:rFonts w:ascii="Muli" w:hAnsi="Muli"/>
        </w:rPr>
        <w:t>%</w:t>
      </w:r>
      <w:r>
        <w:rPr>
          <w:rStyle w:val="normaltextrun"/>
          <w:rFonts w:ascii="Muli" w:hAnsi="Muli"/>
        </w:rPr>
        <w:t xml:space="preserve"> TIN en hipoteca fija</w:t>
      </w:r>
      <w:r w:rsidR="003B77DE">
        <w:rPr>
          <w:rStyle w:val="normaltextrun"/>
          <w:rFonts w:ascii="Muli" w:hAnsi="Muli"/>
        </w:rPr>
        <w:t xml:space="preserve"> y por debajo de ese umbral en hipotecas mixtas. Además, es </w:t>
      </w:r>
      <w:r w:rsidR="003B77DE">
        <w:rPr>
          <w:rStyle w:val="normaltextrun"/>
          <w:rFonts w:ascii="Muli" w:hAnsi="Muli"/>
        </w:rPr>
        <w:lastRenderedPageBreak/>
        <w:t>cierto que llevamos un tiempo sin ‘vender’ apenas hipotecas variables, ya que siguen sin ser competitivas actualmente al situarse el euríbor por encima del 2,2%</w:t>
      </w:r>
      <w:r w:rsidR="00437AC9" w:rsidRPr="00437AC9">
        <w:rPr>
          <w:rStyle w:val="normaltextrun"/>
          <w:rFonts w:ascii="Muli" w:hAnsi="Muli"/>
        </w:rPr>
        <w:t>. Esto demuestra que, aunque la media del INE es un buen termómetro</w:t>
      </w:r>
      <w:r w:rsidR="003B77DE">
        <w:rPr>
          <w:rStyle w:val="normaltextrun"/>
          <w:rFonts w:ascii="Muli" w:hAnsi="Muli"/>
        </w:rPr>
        <w:t xml:space="preserve"> general</w:t>
      </w:r>
      <w:r w:rsidR="00437AC9" w:rsidRPr="00437AC9">
        <w:rPr>
          <w:rStyle w:val="normaltextrun"/>
          <w:rFonts w:ascii="Muli" w:hAnsi="Muli"/>
        </w:rPr>
        <w:t>, no refleja necesariamente las condiciones óptimas que pueden conseguir los hogares mejor posicionados</w:t>
      </w:r>
      <w:r w:rsidR="003B77DE">
        <w:rPr>
          <w:rStyle w:val="normaltextrun"/>
          <w:rFonts w:ascii="Muli" w:hAnsi="Muli"/>
        </w:rPr>
        <w:t xml:space="preserve"> o que acuden a un comparador para analizar las diferentes ofertas disponibles.</w:t>
      </w:r>
    </w:p>
    <w:p w14:paraId="0065043E" w14:textId="645D1F2B" w:rsidR="00BA1275" w:rsidRDefault="00BA1275" w:rsidP="00BA1275">
      <w:pPr>
        <w:pStyle w:val="paragraph"/>
        <w:spacing w:before="240"/>
        <w:textAlignment w:val="baseline"/>
        <w:rPr>
          <w:rFonts w:ascii="Muli" w:hAnsi="Muli"/>
        </w:rPr>
      </w:pPr>
      <w:r w:rsidRPr="00BA1275">
        <w:rPr>
          <w:rFonts w:ascii="Muli" w:hAnsi="Muli"/>
        </w:rPr>
        <w:t>Además</w:t>
      </w:r>
      <w:r>
        <w:rPr>
          <w:rFonts w:ascii="Muli" w:hAnsi="Muli"/>
        </w:rPr>
        <w:t xml:space="preserve"> de porque los tipos de interés son bastante atractivos actualmente</w:t>
      </w:r>
      <w:r w:rsidRPr="00BA1275">
        <w:rPr>
          <w:rFonts w:ascii="Muli" w:hAnsi="Muli"/>
        </w:rPr>
        <w:t xml:space="preserve">, </w:t>
      </w:r>
      <w:r>
        <w:rPr>
          <w:rFonts w:ascii="Muli" w:hAnsi="Muli"/>
        </w:rPr>
        <w:t>la fuerte</w:t>
      </w:r>
      <w:r w:rsidRPr="00BA1275">
        <w:rPr>
          <w:rFonts w:ascii="Muli" w:hAnsi="Muli"/>
        </w:rPr>
        <w:t xml:space="preserve"> actividad hipotecaria </w:t>
      </w:r>
      <w:r>
        <w:rPr>
          <w:rFonts w:ascii="Muli" w:hAnsi="Muli"/>
        </w:rPr>
        <w:t xml:space="preserve">que </w:t>
      </w:r>
      <w:r w:rsidR="00A93C6F">
        <w:rPr>
          <w:rFonts w:ascii="Muli" w:hAnsi="Muli"/>
        </w:rPr>
        <w:t>estamos viendo</w:t>
      </w:r>
      <w:r>
        <w:rPr>
          <w:rFonts w:ascii="Muli" w:hAnsi="Muli"/>
        </w:rPr>
        <w:t xml:space="preserve"> este año </w:t>
      </w:r>
      <w:r w:rsidRPr="00BA1275">
        <w:rPr>
          <w:rFonts w:ascii="Muli" w:hAnsi="Muli"/>
        </w:rPr>
        <w:t>sugiere que muchos compradores han querido</w:t>
      </w:r>
      <w:r>
        <w:rPr>
          <w:rFonts w:ascii="Muli" w:hAnsi="Muli"/>
        </w:rPr>
        <w:t xml:space="preserve"> </w:t>
      </w:r>
      <w:r w:rsidR="00A93C6F">
        <w:rPr>
          <w:rFonts w:ascii="Muli" w:hAnsi="Muli"/>
        </w:rPr>
        <w:t xml:space="preserve">adquirir </w:t>
      </w:r>
      <w:r>
        <w:rPr>
          <w:rFonts w:ascii="Muli" w:hAnsi="Muli"/>
        </w:rPr>
        <w:t>su vivienda antes de que suban más los precios (no se prevén bajadas, más bien todo lo contrario</w:t>
      </w:r>
      <w:r w:rsidR="00B627D3">
        <w:rPr>
          <w:rFonts w:ascii="Muli" w:hAnsi="Muli"/>
        </w:rPr>
        <w:t>)</w:t>
      </w:r>
      <w:r>
        <w:rPr>
          <w:rFonts w:ascii="Muli" w:hAnsi="Muli"/>
        </w:rPr>
        <w:t xml:space="preserve"> y</w:t>
      </w:r>
      <w:r w:rsidRPr="00BA1275">
        <w:rPr>
          <w:rFonts w:ascii="Muli" w:hAnsi="Muli"/>
        </w:rPr>
        <w:t xml:space="preserve"> asegurar una hipoteca </w:t>
      </w:r>
      <w:r w:rsidR="00B627D3" w:rsidRPr="00B627D3">
        <w:rPr>
          <w:rFonts w:ascii="Muli" w:hAnsi="Muli"/>
        </w:rPr>
        <w:t>antes de posibles cambios en el entorno económico</w:t>
      </w:r>
      <w:r w:rsidR="00B627D3">
        <w:rPr>
          <w:rFonts w:ascii="Muli" w:hAnsi="Muli"/>
        </w:rPr>
        <w:t>. Y es que los bancos ya empiezan a hablar de subidas de intereses, el Banco Central Europeo (BCE) no toma una decisión clara respecto a cómo evolucionarán a los tipos de interés oficiales en los próximos meses… y esto genera una incertidumbre que se traslada directamente a los hogares.</w:t>
      </w:r>
    </w:p>
    <w:p w14:paraId="00E48A6C" w14:textId="66EAB879" w:rsidR="00DF53DB" w:rsidRDefault="00B627D3" w:rsidP="00DF53DB">
      <w:pPr>
        <w:pStyle w:val="paragraph"/>
        <w:spacing w:before="240"/>
        <w:textAlignment w:val="baseline"/>
        <w:rPr>
          <w:rFonts w:ascii="Muli" w:hAnsi="Muli"/>
        </w:rPr>
      </w:pPr>
      <w:r>
        <w:rPr>
          <w:rFonts w:ascii="Muli" w:hAnsi="Muli"/>
        </w:rPr>
        <w:t xml:space="preserve">Por tanto, </w:t>
      </w:r>
      <w:r w:rsidR="00A93C6F">
        <w:rPr>
          <w:rFonts w:ascii="Muli" w:hAnsi="Muli"/>
        </w:rPr>
        <w:t xml:space="preserve">los datos de </w:t>
      </w:r>
      <w:r w:rsidRPr="00B627D3">
        <w:rPr>
          <w:rFonts w:ascii="Muli" w:hAnsi="Muli"/>
        </w:rPr>
        <w:t>septiembre confirma</w:t>
      </w:r>
      <w:r w:rsidR="00A93C6F">
        <w:rPr>
          <w:rFonts w:ascii="Muli" w:hAnsi="Muli"/>
        </w:rPr>
        <w:t>n</w:t>
      </w:r>
      <w:r w:rsidRPr="00B627D3">
        <w:rPr>
          <w:rFonts w:ascii="Muli" w:hAnsi="Muli"/>
        </w:rPr>
        <w:t xml:space="preserve"> que el mercado hipotecario en España atraviesa una fase de fuerte dinamismo, marcada por un alto volumen de operaciones y por importes crecientes. </w:t>
      </w:r>
      <w:r>
        <w:rPr>
          <w:rFonts w:ascii="Muli" w:hAnsi="Muli"/>
        </w:rPr>
        <w:t>Y e</w:t>
      </w:r>
      <w:r w:rsidRPr="00B627D3">
        <w:rPr>
          <w:rFonts w:ascii="Muli" w:hAnsi="Muli"/>
        </w:rPr>
        <w:t>n este contexto, disponer de herramientas de comparación fiables y actualizadas se vuelve más necesario que nunca para asegurar que cada comprador firma la hipoteca más adecuada y sostenible para su situación económic</w:t>
      </w:r>
      <w:r>
        <w:rPr>
          <w:rFonts w:ascii="Muli" w:hAnsi="Muli"/>
        </w:rPr>
        <w:t>a”.</w:t>
      </w:r>
    </w:p>
    <w:p w14:paraId="183D841A" w14:textId="77777777" w:rsidR="00B627D3" w:rsidRPr="00433245" w:rsidRDefault="00B627D3" w:rsidP="00DF53DB">
      <w:pPr>
        <w:pStyle w:val="paragraph"/>
        <w:spacing w:before="240"/>
        <w:textAlignment w:val="baseline"/>
        <w:rPr>
          <w:rStyle w:val="contentpasted0"/>
          <w:rFonts w:ascii="Muli" w:hAnsi="Muli"/>
        </w:rPr>
      </w:pPr>
    </w:p>
    <w:p w14:paraId="5A9F02D6" w14:textId="77777777" w:rsidR="00DF53DB" w:rsidRDefault="00DF53DB" w:rsidP="00DF53DB">
      <w:pPr>
        <w:rPr>
          <w:rStyle w:val="contentpasted0"/>
          <w:rFonts w:ascii="Muli" w:hAnsi="Muli"/>
          <w:color w:val="000000"/>
          <w:u w:val="single"/>
        </w:rPr>
      </w:pPr>
      <w:r>
        <w:rPr>
          <w:rStyle w:val="contentpasted0"/>
          <w:rFonts w:ascii="Muli" w:hAnsi="Muli"/>
          <w:color w:val="000000"/>
          <w:u w:val="single"/>
        </w:rPr>
        <w:t>Laura Martínez, portavoz de iAhorro.</w:t>
      </w:r>
    </w:p>
    <w:p w14:paraId="213CAF07" w14:textId="77777777" w:rsidR="00DF53DB" w:rsidRDefault="00DF53DB" w:rsidP="00DF53DB">
      <w:pPr>
        <w:rPr>
          <w:rStyle w:val="contentpasted0"/>
          <w:rFonts w:ascii="Muli" w:hAnsi="Muli"/>
          <w:color w:val="000000"/>
          <w:u w:val="single"/>
        </w:rPr>
      </w:pPr>
    </w:p>
    <w:p w14:paraId="301351F9" w14:textId="77777777" w:rsidR="00DF53DB" w:rsidRDefault="00DF53DB" w:rsidP="00DF53DB">
      <w:pPr>
        <w:rPr>
          <w:rStyle w:val="contentpasted0"/>
          <w:rFonts w:ascii="Muli" w:hAnsi="Muli"/>
          <w:color w:val="000000"/>
          <w:u w:val="single"/>
        </w:rPr>
      </w:pPr>
    </w:p>
    <w:p w14:paraId="703C7A4C" w14:textId="77777777" w:rsidR="00DF53DB" w:rsidRDefault="00DF53DB" w:rsidP="00DF53DB">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DF53DB" w:rsidRPr="00AF342D" w14:paraId="17E24790" w14:textId="77777777" w:rsidTr="007C6383">
        <w:trPr>
          <w:trHeight w:val="132"/>
        </w:trPr>
        <w:tc>
          <w:tcPr>
            <w:tcW w:w="1980" w:type="dxa"/>
            <w:tcMar>
              <w:top w:w="0" w:type="dxa"/>
              <w:left w:w="108" w:type="dxa"/>
              <w:bottom w:w="0" w:type="dxa"/>
              <w:right w:w="108" w:type="dxa"/>
            </w:tcMar>
            <w:vAlign w:val="center"/>
            <w:hideMark/>
          </w:tcPr>
          <w:p w14:paraId="5B2CA254" w14:textId="77777777" w:rsidR="00DF53DB" w:rsidRDefault="00DF53DB" w:rsidP="007C6383">
            <w:pPr>
              <w:pStyle w:val="Piedepgina"/>
              <w:spacing w:line="252" w:lineRule="auto"/>
              <w:rPr>
                <w:rFonts w:ascii="Aptos" w:hAnsi="Aptos" w:cs="Aptos"/>
                <w:b/>
                <w:bCs/>
                <w:sz w:val="18"/>
                <w:szCs w:val="18"/>
              </w:rPr>
            </w:pPr>
            <w:r>
              <w:rPr>
                <w:noProof/>
              </w:rPr>
              <w:drawing>
                <wp:inline distT="0" distB="0" distL="0" distR="0" wp14:anchorId="5EE02F7C" wp14:editId="598A8F86">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6">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5A5C5FEF" w14:textId="77777777" w:rsidR="00DF53DB" w:rsidRDefault="00DF53DB" w:rsidP="007C6383">
            <w:pPr>
              <w:pStyle w:val="Piedepgina"/>
              <w:spacing w:line="252" w:lineRule="auto"/>
              <w:jc w:val="center"/>
              <w:rPr>
                <w:b/>
                <w:bCs/>
                <w:sz w:val="18"/>
                <w:szCs w:val="18"/>
              </w:rPr>
            </w:pPr>
          </w:p>
          <w:p w14:paraId="24D9317D" w14:textId="77777777" w:rsidR="00DF53DB" w:rsidRDefault="00DF53DB" w:rsidP="007C6383">
            <w:pPr>
              <w:pStyle w:val="Piedepgina"/>
              <w:spacing w:line="252" w:lineRule="auto"/>
              <w:jc w:val="center"/>
              <w:rPr>
                <w:b/>
                <w:bCs/>
                <w:sz w:val="18"/>
                <w:szCs w:val="18"/>
              </w:rPr>
            </w:pPr>
          </w:p>
          <w:p w14:paraId="3B4C3DD6" w14:textId="77777777" w:rsidR="00DF53DB" w:rsidRDefault="00DF53DB" w:rsidP="007C6383">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7" w:history="1">
              <w:r w:rsidRPr="009D144E">
                <w:rPr>
                  <w:rStyle w:val="Hipervnculo"/>
                  <w:sz w:val="18"/>
                  <w:szCs w:val="18"/>
                </w:rPr>
                <w:t>laura.martinez@iahorro.com</w:t>
              </w:r>
            </w:hyperlink>
          </w:p>
          <w:p w14:paraId="76ED01C5" w14:textId="77777777" w:rsidR="00DF53DB" w:rsidRDefault="00DF53DB" w:rsidP="007C6383">
            <w:pPr>
              <w:pStyle w:val="Piedepgina"/>
              <w:spacing w:line="252" w:lineRule="auto"/>
              <w:jc w:val="center"/>
              <w:rPr>
                <w:b/>
                <w:bCs/>
                <w:sz w:val="18"/>
                <w:szCs w:val="18"/>
                <w:lang w:val="pt-PT"/>
              </w:rPr>
            </w:pPr>
          </w:p>
          <w:p w14:paraId="7D69EA42" w14:textId="77777777" w:rsidR="00DF53DB" w:rsidRDefault="00DF53DB" w:rsidP="007C6383">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634CE461" w14:textId="77777777" w:rsidR="00DF53DB" w:rsidRDefault="00DF53DB" w:rsidP="007C6383">
            <w:pPr>
              <w:pStyle w:val="Piedepgina"/>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8" w:history="1">
              <w:r>
                <w:rPr>
                  <w:rStyle w:val="Hipervnculo"/>
                  <w:sz w:val="18"/>
                  <w:szCs w:val="18"/>
                  <w:lang w:val="pt-PT"/>
                </w:rPr>
                <w:t>noelia.perez@iahorro.com</w:t>
              </w:r>
            </w:hyperlink>
          </w:p>
        </w:tc>
      </w:tr>
      <w:bookmarkEnd w:id="0"/>
    </w:tbl>
    <w:p w14:paraId="755D8872" w14:textId="77777777" w:rsidR="00381D98" w:rsidRDefault="00381D98"/>
    <w:sectPr w:rsidR="00381D9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D51F9" w14:textId="77777777" w:rsidR="0095290F" w:rsidRDefault="0095290F" w:rsidP="00167B9F">
      <w:r>
        <w:separator/>
      </w:r>
    </w:p>
  </w:endnote>
  <w:endnote w:type="continuationSeparator" w:id="0">
    <w:p w14:paraId="6C391EE0" w14:textId="77777777" w:rsidR="0095290F" w:rsidRDefault="0095290F" w:rsidP="00167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uli">
    <w:panose1 w:val="00000000000000000000"/>
    <w:charset w:val="00"/>
    <w:family w:val="auto"/>
    <w:pitch w:val="variable"/>
    <w:sig w:usb0="A00000FF" w:usb1="5000204B" w:usb2="00000000" w:usb3="00000000" w:csb0="00000193" w:csb1="00000000"/>
  </w:font>
  <w:font w:name="Montserrat">
    <w:panose1 w:val="000005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3F2CF" w14:textId="77777777" w:rsidR="0095290F" w:rsidRDefault="0095290F" w:rsidP="00167B9F">
      <w:r>
        <w:separator/>
      </w:r>
    </w:p>
  </w:footnote>
  <w:footnote w:type="continuationSeparator" w:id="0">
    <w:p w14:paraId="4805F1D6" w14:textId="77777777" w:rsidR="0095290F" w:rsidRDefault="0095290F" w:rsidP="00167B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3DB"/>
    <w:rsid w:val="0014369C"/>
    <w:rsid w:val="00167B9F"/>
    <w:rsid w:val="00187670"/>
    <w:rsid w:val="001B0F85"/>
    <w:rsid w:val="001F647E"/>
    <w:rsid w:val="00272707"/>
    <w:rsid w:val="00381D98"/>
    <w:rsid w:val="003B77DE"/>
    <w:rsid w:val="0043072D"/>
    <w:rsid w:val="00437AC9"/>
    <w:rsid w:val="00500E69"/>
    <w:rsid w:val="005B6FD4"/>
    <w:rsid w:val="00642CC6"/>
    <w:rsid w:val="006701BD"/>
    <w:rsid w:val="00835C3F"/>
    <w:rsid w:val="00842A5D"/>
    <w:rsid w:val="0095290F"/>
    <w:rsid w:val="00960C81"/>
    <w:rsid w:val="00A835D7"/>
    <w:rsid w:val="00A93C6F"/>
    <w:rsid w:val="00B4287F"/>
    <w:rsid w:val="00B627D3"/>
    <w:rsid w:val="00BA1275"/>
    <w:rsid w:val="00C3168D"/>
    <w:rsid w:val="00C536E1"/>
    <w:rsid w:val="00DF53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0B219"/>
  <w15:chartTrackingRefBased/>
  <w15:docId w15:val="{D26894F1-3C1F-492C-BAFF-BC792B1AC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3DB"/>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DF53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53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53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53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53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53D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53D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53D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53D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53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53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53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53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53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53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53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53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53DB"/>
    <w:rPr>
      <w:rFonts w:eastAsiaTheme="majorEastAsia" w:cstheme="majorBidi"/>
      <w:color w:val="272727" w:themeColor="text1" w:themeTint="D8"/>
    </w:rPr>
  </w:style>
  <w:style w:type="paragraph" w:styleId="Ttulo">
    <w:name w:val="Title"/>
    <w:basedOn w:val="Normal"/>
    <w:next w:val="Normal"/>
    <w:link w:val="TtuloCar"/>
    <w:uiPriority w:val="10"/>
    <w:qFormat/>
    <w:rsid w:val="00DF53D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53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53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53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53DB"/>
    <w:pPr>
      <w:spacing w:before="160"/>
      <w:jc w:val="center"/>
    </w:pPr>
    <w:rPr>
      <w:i/>
      <w:iCs/>
      <w:color w:val="404040" w:themeColor="text1" w:themeTint="BF"/>
    </w:rPr>
  </w:style>
  <w:style w:type="character" w:customStyle="1" w:styleId="CitaCar">
    <w:name w:val="Cita Car"/>
    <w:basedOn w:val="Fuentedeprrafopredeter"/>
    <w:link w:val="Cita"/>
    <w:uiPriority w:val="29"/>
    <w:rsid w:val="00DF53DB"/>
    <w:rPr>
      <w:i/>
      <w:iCs/>
      <w:color w:val="404040" w:themeColor="text1" w:themeTint="BF"/>
    </w:rPr>
  </w:style>
  <w:style w:type="paragraph" w:styleId="Prrafodelista">
    <w:name w:val="List Paragraph"/>
    <w:basedOn w:val="Normal"/>
    <w:uiPriority w:val="34"/>
    <w:qFormat/>
    <w:rsid w:val="00DF53DB"/>
    <w:pPr>
      <w:ind w:left="720"/>
      <w:contextualSpacing/>
    </w:pPr>
  </w:style>
  <w:style w:type="character" w:styleId="nfasisintenso">
    <w:name w:val="Intense Emphasis"/>
    <w:basedOn w:val="Fuentedeprrafopredeter"/>
    <w:uiPriority w:val="21"/>
    <w:qFormat/>
    <w:rsid w:val="00DF53DB"/>
    <w:rPr>
      <w:i/>
      <w:iCs/>
      <w:color w:val="0F4761" w:themeColor="accent1" w:themeShade="BF"/>
    </w:rPr>
  </w:style>
  <w:style w:type="paragraph" w:styleId="Citadestacada">
    <w:name w:val="Intense Quote"/>
    <w:basedOn w:val="Normal"/>
    <w:next w:val="Normal"/>
    <w:link w:val="CitadestacadaCar"/>
    <w:uiPriority w:val="30"/>
    <w:qFormat/>
    <w:rsid w:val="00DF53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53DB"/>
    <w:rPr>
      <w:i/>
      <w:iCs/>
      <w:color w:val="0F4761" w:themeColor="accent1" w:themeShade="BF"/>
    </w:rPr>
  </w:style>
  <w:style w:type="character" w:styleId="Referenciaintensa">
    <w:name w:val="Intense Reference"/>
    <w:basedOn w:val="Fuentedeprrafopredeter"/>
    <w:uiPriority w:val="32"/>
    <w:qFormat/>
    <w:rsid w:val="00DF53DB"/>
    <w:rPr>
      <w:b/>
      <w:bCs/>
      <w:smallCaps/>
      <w:color w:val="0F4761" w:themeColor="accent1" w:themeShade="BF"/>
      <w:spacing w:val="5"/>
    </w:rPr>
  </w:style>
  <w:style w:type="character" w:customStyle="1" w:styleId="contentpasted0">
    <w:name w:val="contentpasted0"/>
    <w:basedOn w:val="Fuentedeprrafopredeter"/>
    <w:rsid w:val="00DF53DB"/>
  </w:style>
  <w:style w:type="paragraph" w:customStyle="1" w:styleId="paragraph">
    <w:name w:val="paragraph"/>
    <w:basedOn w:val="Normal"/>
    <w:rsid w:val="00DF53DB"/>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Fuentedeprrafopredeter"/>
    <w:rsid w:val="00DF53DB"/>
  </w:style>
  <w:style w:type="paragraph" w:styleId="Piedepgina">
    <w:name w:val="footer"/>
    <w:basedOn w:val="Normal"/>
    <w:link w:val="PiedepginaCar"/>
    <w:uiPriority w:val="99"/>
    <w:unhideWhenUsed/>
    <w:rsid w:val="00DF53DB"/>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DF53DB"/>
  </w:style>
  <w:style w:type="character" w:styleId="Hipervnculo">
    <w:name w:val="Hyperlink"/>
    <w:basedOn w:val="Fuentedeprrafopredeter"/>
    <w:uiPriority w:val="99"/>
    <w:unhideWhenUsed/>
    <w:rsid w:val="00DF53DB"/>
    <w:rPr>
      <w:color w:val="0563C1"/>
      <w:u w:val="single"/>
    </w:rPr>
  </w:style>
  <w:style w:type="paragraph" w:styleId="Encabezado">
    <w:name w:val="header"/>
    <w:basedOn w:val="Normal"/>
    <w:link w:val="EncabezadoCar"/>
    <w:uiPriority w:val="99"/>
    <w:unhideWhenUsed/>
    <w:rsid w:val="00167B9F"/>
    <w:pPr>
      <w:tabs>
        <w:tab w:val="center" w:pos="4252"/>
        <w:tab w:val="right" w:pos="8504"/>
      </w:tabs>
    </w:pPr>
  </w:style>
  <w:style w:type="character" w:customStyle="1" w:styleId="EncabezadoCar">
    <w:name w:val="Encabezado Car"/>
    <w:basedOn w:val="Fuentedeprrafopredeter"/>
    <w:link w:val="Encabezado"/>
    <w:uiPriority w:val="99"/>
    <w:rsid w:val="00167B9F"/>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elia.perez@iahorro.com" TargetMode="External"/><Relationship Id="rId3" Type="http://schemas.openxmlformats.org/officeDocument/2006/relationships/webSettings" Target="webSettings.xml"/><Relationship Id="rId7" Type="http://schemas.openxmlformats.org/officeDocument/2006/relationships/hyperlink" Target="mailto:laura.martinez@iahorr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687</Words>
  <Characters>3782</Characters>
  <Application>Microsoft Office Word</Application>
  <DocSecurity>0</DocSecurity>
  <Lines>31</Lines>
  <Paragraphs>8</Paragraphs>
  <ScaleCrop>false</ScaleCrop>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21</cp:revision>
  <dcterms:created xsi:type="dcterms:W3CDTF">2025-11-27T08:07:00Z</dcterms:created>
  <dcterms:modified xsi:type="dcterms:W3CDTF">2025-11-27T08:34:00Z</dcterms:modified>
</cp:coreProperties>
</file>