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65D3" w14:textId="6E56AF9A" w:rsidR="00113AD7" w:rsidRPr="00995345" w:rsidRDefault="00CB2429" w:rsidP="00113AD7">
      <w:pPr>
        <w:jc w:val="center"/>
        <w:rPr>
          <w:rFonts w:ascii="Muli" w:hAnsi="Muli"/>
          <w:b/>
          <w:sz w:val="20"/>
          <w:szCs w:val="20"/>
        </w:rPr>
      </w:pPr>
      <w:bookmarkStart w:id="0" w:name="_Hlk215137328"/>
      <w:r>
        <w:rPr>
          <w:rFonts w:ascii="Muli" w:hAnsi="Muli"/>
          <w:b/>
          <w:sz w:val="20"/>
          <w:szCs w:val="20"/>
        </w:rPr>
        <w:t>Cierra el mes con tres datos diarios por encima del 3%</w:t>
      </w:r>
    </w:p>
    <w:bookmarkEnd w:id="0"/>
    <w:p w14:paraId="3210EC4F" w14:textId="3543135D" w:rsidR="239D0426" w:rsidRDefault="455809C8" w:rsidP="239D0426">
      <w:pPr>
        <w:jc w:val="center"/>
        <w:rPr>
          <w:rFonts w:ascii="Montserrat" w:hAnsi="Montserrat"/>
          <w:b/>
          <w:bCs/>
          <w:color w:val="002060"/>
          <w:sz w:val="32"/>
          <w:szCs w:val="32"/>
        </w:rPr>
      </w:pPr>
      <w:r w:rsidRPr="00840C0A">
        <w:rPr>
          <w:rFonts w:ascii="Montserrat" w:hAnsi="Montserrat"/>
          <w:b/>
          <w:bCs/>
          <w:color w:val="002060"/>
          <w:sz w:val="32"/>
          <w:szCs w:val="32"/>
        </w:rPr>
        <w:t xml:space="preserve">El euríbor </w:t>
      </w:r>
      <w:r w:rsidR="005F704B">
        <w:rPr>
          <w:rFonts w:ascii="Montserrat" w:hAnsi="Montserrat"/>
          <w:b/>
          <w:bCs/>
          <w:color w:val="002060"/>
          <w:sz w:val="32"/>
          <w:szCs w:val="32"/>
        </w:rPr>
        <w:t xml:space="preserve">consolida la tendencia alcista en agosto </w:t>
      </w:r>
      <w:r w:rsidR="001977F9">
        <w:rPr>
          <w:rFonts w:ascii="Montserrat" w:hAnsi="Montserrat"/>
          <w:b/>
          <w:bCs/>
          <w:color w:val="002060"/>
          <w:sz w:val="32"/>
          <w:szCs w:val="32"/>
        </w:rPr>
        <w:t>y cierra el mes en el 2,952% después de superar tres días el 3%</w:t>
      </w:r>
    </w:p>
    <w:p w14:paraId="19BCB666" w14:textId="77777777" w:rsidR="009D6CDC" w:rsidRPr="00840C0A" w:rsidRDefault="009D6CDC" w:rsidP="239D0426">
      <w:pPr>
        <w:jc w:val="center"/>
        <w:rPr>
          <w:color w:val="002060"/>
        </w:rPr>
      </w:pPr>
    </w:p>
    <w:p w14:paraId="5FA09F4D" w14:textId="1603915F" w:rsidR="005F704B" w:rsidRPr="000E1DB0" w:rsidRDefault="69977C5F" w:rsidP="005F704B">
      <w:pPr>
        <w:pStyle w:val="Prrafodelista"/>
        <w:numPr>
          <w:ilvl w:val="0"/>
          <w:numId w:val="1"/>
        </w:numPr>
        <w:spacing w:line="256" w:lineRule="auto"/>
        <w:ind w:left="567" w:hanging="207"/>
        <w:rPr>
          <w:rFonts w:ascii="Muli" w:hAnsi="Muli"/>
        </w:rPr>
      </w:pPr>
      <w:r w:rsidRPr="61FC88CE">
        <w:rPr>
          <w:rFonts w:ascii="Muli" w:hAnsi="Muli"/>
        </w:rPr>
        <w:t xml:space="preserve">El </w:t>
      </w:r>
      <w:r w:rsidR="009D6CDC">
        <w:rPr>
          <w:rFonts w:ascii="Muli" w:hAnsi="Muli"/>
        </w:rPr>
        <w:t xml:space="preserve">índice de referencia de las hipotecas variables </w:t>
      </w:r>
      <w:r w:rsidR="000B0210">
        <w:rPr>
          <w:rFonts w:ascii="Muli" w:hAnsi="Muli"/>
        </w:rPr>
        <w:t xml:space="preserve">aumenta </w:t>
      </w:r>
      <w:r w:rsidR="005F704B">
        <w:rPr>
          <w:rFonts w:ascii="Muli" w:hAnsi="Muli"/>
        </w:rPr>
        <w:t>de nuevo</w:t>
      </w:r>
      <w:r w:rsidR="000B0210">
        <w:rPr>
          <w:rFonts w:ascii="Muli" w:hAnsi="Muli"/>
        </w:rPr>
        <w:t xml:space="preserve"> respecto al mes de ju</w:t>
      </w:r>
      <w:r w:rsidR="005F704B">
        <w:rPr>
          <w:rFonts w:ascii="Muli" w:hAnsi="Muli"/>
        </w:rPr>
        <w:t>lio</w:t>
      </w:r>
      <w:r w:rsidR="000B0210">
        <w:rPr>
          <w:rFonts w:ascii="Muli" w:hAnsi="Muli"/>
        </w:rPr>
        <w:t xml:space="preserve"> (2,</w:t>
      </w:r>
      <w:r w:rsidR="005F704B">
        <w:rPr>
          <w:rFonts w:ascii="Muli" w:hAnsi="Muli"/>
        </w:rPr>
        <w:t>855</w:t>
      </w:r>
      <w:r w:rsidR="000B0210">
        <w:rPr>
          <w:rFonts w:ascii="Muli" w:hAnsi="Muli"/>
        </w:rPr>
        <w:t xml:space="preserve">%) hasta alcanzar una </w:t>
      </w:r>
      <w:r w:rsidR="000B0210" w:rsidRPr="005F704B">
        <w:rPr>
          <w:rFonts w:ascii="Muli" w:hAnsi="Muli"/>
        </w:rPr>
        <w:t xml:space="preserve">media </w:t>
      </w:r>
      <w:r w:rsidR="000B0210" w:rsidRPr="000E1DB0">
        <w:rPr>
          <w:rFonts w:ascii="Muli" w:hAnsi="Muli"/>
        </w:rPr>
        <w:t>de 2,</w:t>
      </w:r>
      <w:r w:rsidR="005F704B" w:rsidRPr="000E1DB0">
        <w:rPr>
          <w:rFonts w:ascii="Muli" w:hAnsi="Muli"/>
        </w:rPr>
        <w:t>9</w:t>
      </w:r>
      <w:r w:rsidR="00D9060C" w:rsidRPr="000E1DB0">
        <w:rPr>
          <w:rFonts w:ascii="Muli" w:hAnsi="Muli"/>
        </w:rPr>
        <w:t>5</w:t>
      </w:r>
      <w:r w:rsidR="00BE3CEB">
        <w:rPr>
          <w:rFonts w:ascii="Muli" w:hAnsi="Muli"/>
        </w:rPr>
        <w:t>2</w:t>
      </w:r>
      <w:r w:rsidR="000B0210" w:rsidRPr="000E1DB0">
        <w:rPr>
          <w:rFonts w:ascii="Muli" w:hAnsi="Muli"/>
        </w:rPr>
        <w:t>%</w:t>
      </w:r>
      <w:r w:rsidR="005F704B" w:rsidRPr="000E1DB0">
        <w:rPr>
          <w:rFonts w:ascii="Muli" w:hAnsi="Muli"/>
        </w:rPr>
        <w:t xml:space="preserve">. El 26 de agosto superó la barrera del 3%, dato que no se veía desde el 6 de septiembre de 2024. </w:t>
      </w:r>
    </w:p>
    <w:p w14:paraId="0CF9422D" w14:textId="33F2F878" w:rsidR="005F704B" w:rsidRPr="000E1DB0" w:rsidRDefault="009D6CDC" w:rsidP="005F704B">
      <w:pPr>
        <w:pStyle w:val="Prrafodelista"/>
        <w:numPr>
          <w:ilvl w:val="0"/>
          <w:numId w:val="1"/>
        </w:numPr>
        <w:spacing w:line="256" w:lineRule="auto"/>
        <w:ind w:left="567" w:hanging="207"/>
        <w:rPr>
          <w:rFonts w:ascii="Muli" w:hAnsi="Muli"/>
        </w:rPr>
      </w:pPr>
      <w:r w:rsidRPr="000E1DB0">
        <w:rPr>
          <w:rFonts w:ascii="Muli" w:hAnsi="Muli"/>
        </w:rPr>
        <w:t>El indicador registra un incremento de 0,</w:t>
      </w:r>
      <w:r w:rsidR="005F704B" w:rsidRPr="000E1DB0">
        <w:rPr>
          <w:rFonts w:ascii="Muli" w:hAnsi="Muli"/>
        </w:rPr>
        <w:t>83</w:t>
      </w:r>
      <w:r w:rsidR="003D2947">
        <w:rPr>
          <w:rFonts w:ascii="Muli" w:hAnsi="Muli"/>
        </w:rPr>
        <w:t>8</w:t>
      </w:r>
      <w:r w:rsidR="005F704B" w:rsidRPr="000E1DB0">
        <w:rPr>
          <w:rFonts w:ascii="Muli" w:hAnsi="Muli"/>
        </w:rPr>
        <w:t xml:space="preserve"> </w:t>
      </w:r>
      <w:r w:rsidRPr="000E1DB0">
        <w:rPr>
          <w:rFonts w:ascii="Muli" w:hAnsi="Muli"/>
        </w:rPr>
        <w:t xml:space="preserve">puntos porcentuales respecto a </w:t>
      </w:r>
      <w:r w:rsidR="005F704B" w:rsidRPr="000E1DB0">
        <w:rPr>
          <w:rFonts w:ascii="Muli" w:hAnsi="Muli"/>
        </w:rPr>
        <w:t>agosto</w:t>
      </w:r>
      <w:r w:rsidRPr="000E1DB0">
        <w:rPr>
          <w:rFonts w:ascii="Muli" w:hAnsi="Muli"/>
        </w:rPr>
        <w:t xml:space="preserve"> de 2025, cuando </w:t>
      </w:r>
      <w:r w:rsidR="005F704B" w:rsidRPr="000E1DB0">
        <w:rPr>
          <w:rFonts w:ascii="Muli" w:hAnsi="Muli"/>
        </w:rPr>
        <w:t xml:space="preserve">cerró </w:t>
      </w:r>
      <w:r w:rsidRPr="000E1DB0">
        <w:rPr>
          <w:rFonts w:ascii="Muli" w:hAnsi="Muli"/>
        </w:rPr>
        <w:t>en el 2,</w:t>
      </w:r>
      <w:r w:rsidR="005F704B" w:rsidRPr="000E1DB0">
        <w:rPr>
          <w:rFonts w:ascii="Muli" w:hAnsi="Muli"/>
        </w:rPr>
        <w:t>114</w:t>
      </w:r>
      <w:r w:rsidRPr="000E1DB0">
        <w:rPr>
          <w:rFonts w:ascii="Muli" w:hAnsi="Muli"/>
        </w:rPr>
        <w:t>%.</w:t>
      </w:r>
      <w:r w:rsidR="000B0210" w:rsidRPr="000E1DB0">
        <w:rPr>
          <w:rFonts w:ascii="Muli" w:hAnsi="Muli"/>
        </w:rPr>
        <w:t xml:space="preserve"> </w:t>
      </w:r>
    </w:p>
    <w:p w14:paraId="0FF5D81E" w14:textId="594CEB06" w:rsidR="009D6CDC" w:rsidRPr="001F5CDC" w:rsidRDefault="009D6CDC" w:rsidP="009D6CDC">
      <w:pPr>
        <w:pStyle w:val="Prrafodelista"/>
        <w:numPr>
          <w:ilvl w:val="0"/>
          <w:numId w:val="1"/>
        </w:numPr>
        <w:spacing w:line="256" w:lineRule="auto"/>
        <w:ind w:left="567" w:hanging="207"/>
        <w:rPr>
          <w:rFonts w:ascii="Muli" w:hAnsi="Muli"/>
        </w:rPr>
      </w:pPr>
      <w:r w:rsidRPr="001F5CDC">
        <w:rPr>
          <w:rFonts w:ascii="Muli" w:hAnsi="Muli"/>
        </w:rPr>
        <w:t>“</w:t>
      </w:r>
      <w:r w:rsidR="005F704B">
        <w:rPr>
          <w:rFonts w:ascii="Muli" w:hAnsi="Muli"/>
        </w:rPr>
        <w:t>El 3% diario es una señal que conviene vigilar, pero el mercado hipotecario se ha mantenido tranquilo en las últimas semanas, sin apenas movimientos entre las entidades</w:t>
      </w:r>
      <w:r w:rsidRPr="001F5CDC">
        <w:rPr>
          <w:rFonts w:ascii="Muli" w:hAnsi="Muli"/>
        </w:rPr>
        <w:t>”, destaca la portavoz de iAhorro</w:t>
      </w:r>
      <w:r w:rsidR="001F5CDC">
        <w:rPr>
          <w:rFonts w:ascii="Muli" w:hAnsi="Muli"/>
        </w:rPr>
        <w:t xml:space="preserve">. </w:t>
      </w:r>
    </w:p>
    <w:p w14:paraId="646DA46F" w14:textId="77777777" w:rsidR="00113AD7" w:rsidRDefault="00113AD7" w:rsidP="00113AD7">
      <w:pPr>
        <w:pStyle w:val="Prrafodelista"/>
        <w:spacing w:line="256" w:lineRule="auto"/>
        <w:ind w:left="567"/>
        <w:rPr>
          <w:rFonts w:ascii="Muli" w:hAnsi="Muli"/>
        </w:rPr>
      </w:pPr>
    </w:p>
    <w:p w14:paraId="5D4A27EA" w14:textId="45B16986" w:rsidR="00113AD7" w:rsidRPr="002301DA" w:rsidRDefault="00113AD7" w:rsidP="00113AD7">
      <w:pPr>
        <w:spacing w:line="256" w:lineRule="auto"/>
        <w:rPr>
          <w:rFonts w:ascii="Muli" w:hAnsi="Muli"/>
        </w:rPr>
      </w:pPr>
      <w:r w:rsidRPr="002301DA">
        <w:rPr>
          <w:rFonts w:ascii="Muli" w:hAnsi="Muli"/>
        </w:rPr>
        <w:t>Madrid,</w:t>
      </w:r>
      <w:r>
        <w:rPr>
          <w:rFonts w:ascii="Muli" w:hAnsi="Muli"/>
        </w:rPr>
        <w:t xml:space="preserve"> </w:t>
      </w:r>
      <w:r w:rsidR="005A3D07">
        <w:rPr>
          <w:rFonts w:ascii="Muli" w:hAnsi="Muli"/>
        </w:rPr>
        <w:t>31</w:t>
      </w:r>
      <w:r w:rsidR="00D4551C">
        <w:rPr>
          <w:rFonts w:ascii="Muli" w:hAnsi="Muli"/>
        </w:rPr>
        <w:t xml:space="preserve"> de </w:t>
      </w:r>
      <w:r w:rsidR="005F704B">
        <w:rPr>
          <w:rFonts w:ascii="Muli" w:hAnsi="Muli"/>
        </w:rPr>
        <w:t>agosto</w:t>
      </w:r>
      <w:r w:rsidR="009D6CDC">
        <w:rPr>
          <w:rFonts w:ascii="Muli" w:hAnsi="Muli"/>
        </w:rPr>
        <w:t xml:space="preserve"> </w:t>
      </w:r>
      <w:r>
        <w:rPr>
          <w:rFonts w:ascii="Muli" w:hAnsi="Muli"/>
        </w:rPr>
        <w:t>de 2026</w:t>
      </w:r>
    </w:p>
    <w:p w14:paraId="73777F7B" w14:textId="5A38F14E" w:rsidR="005F704B" w:rsidRDefault="005F704B" w:rsidP="00CF0A63">
      <w:pPr>
        <w:rPr>
          <w:rFonts w:ascii="Muli" w:hAnsi="Muli"/>
          <w:color w:val="000000" w:themeColor="text1"/>
        </w:rPr>
      </w:pPr>
      <w:r>
        <w:rPr>
          <w:rFonts w:ascii="Muli" w:hAnsi="Muli"/>
          <w:color w:val="000000" w:themeColor="text1"/>
        </w:rPr>
        <w:t xml:space="preserve">Lejos quedan los niveles registrados a comienzos del año en torno al 2,2% en el principal indicador de las hipotecas variables. Entonces, los mercados atisbaron un escenario estable. </w:t>
      </w:r>
      <w:r w:rsidR="4674D064" w:rsidRPr="0917CDB9">
        <w:rPr>
          <w:rFonts w:ascii="Muli" w:hAnsi="Muli"/>
          <w:color w:val="000000" w:themeColor="text1"/>
        </w:rPr>
        <w:t>El</w:t>
      </w:r>
      <w:r w:rsidR="05781A20" w:rsidRPr="0917CDB9">
        <w:rPr>
          <w:rFonts w:ascii="Muli" w:hAnsi="Muli"/>
          <w:color w:val="000000" w:themeColor="text1"/>
        </w:rPr>
        <w:t xml:space="preserve"> euríbor, el índice de referencia con el que se calcula </w:t>
      </w:r>
      <w:r w:rsidR="05EB2B47" w:rsidRPr="0917CDB9">
        <w:rPr>
          <w:rFonts w:ascii="Muli" w:hAnsi="Muli"/>
          <w:color w:val="000000" w:themeColor="text1"/>
        </w:rPr>
        <w:t>el tipo de interés (TIN) de las hipotecas</w:t>
      </w:r>
      <w:r w:rsidR="2C84C353" w:rsidRPr="0917CDB9">
        <w:rPr>
          <w:rFonts w:ascii="Muli" w:hAnsi="Muli"/>
          <w:color w:val="000000" w:themeColor="text1"/>
        </w:rPr>
        <w:t xml:space="preserve"> variables</w:t>
      </w:r>
      <w:r w:rsidR="05EB2B47" w:rsidRPr="0917CDB9">
        <w:rPr>
          <w:rFonts w:ascii="Muli" w:hAnsi="Muli"/>
          <w:color w:val="000000" w:themeColor="text1"/>
        </w:rPr>
        <w:t xml:space="preserve">, </w:t>
      </w:r>
      <w:r>
        <w:rPr>
          <w:rFonts w:ascii="Muli" w:hAnsi="Muli"/>
          <w:color w:val="000000" w:themeColor="text1"/>
        </w:rPr>
        <w:t xml:space="preserve">ha virado durante el mes de agosto hacia una tendencia alcista que se sitúa en </w:t>
      </w:r>
      <w:r w:rsidRPr="005F704B">
        <w:rPr>
          <w:rFonts w:ascii="Muli" w:hAnsi="Muli"/>
          <w:color w:val="000000" w:themeColor="text1"/>
        </w:rPr>
        <w:t>el</w:t>
      </w:r>
      <w:r>
        <w:rPr>
          <w:rFonts w:ascii="Muli" w:hAnsi="Muli"/>
          <w:color w:val="000000" w:themeColor="text1"/>
        </w:rPr>
        <w:t xml:space="preserve"> </w:t>
      </w:r>
      <w:r w:rsidRPr="000E1DB0">
        <w:rPr>
          <w:rFonts w:ascii="Muli" w:hAnsi="Muli"/>
        </w:rPr>
        <w:t>2,9</w:t>
      </w:r>
      <w:r w:rsidR="00EF51C1" w:rsidRPr="000E1DB0">
        <w:rPr>
          <w:rFonts w:ascii="Muli" w:hAnsi="Muli"/>
        </w:rPr>
        <w:t>5</w:t>
      </w:r>
      <w:r w:rsidR="00DA1371">
        <w:rPr>
          <w:rFonts w:ascii="Muli" w:hAnsi="Muli"/>
        </w:rPr>
        <w:t>2</w:t>
      </w:r>
      <w:r w:rsidRPr="000E1DB0">
        <w:rPr>
          <w:rFonts w:ascii="Muli" w:hAnsi="Muli"/>
        </w:rPr>
        <w:t>%. El incremento es de 0,09</w:t>
      </w:r>
      <w:r w:rsidR="00780042">
        <w:rPr>
          <w:rFonts w:ascii="Muli" w:hAnsi="Muli"/>
        </w:rPr>
        <w:t>7</w:t>
      </w:r>
      <w:r w:rsidRPr="000E1DB0">
        <w:rPr>
          <w:rFonts w:ascii="Muli" w:hAnsi="Muli"/>
        </w:rPr>
        <w:t xml:space="preserve"> punt</w:t>
      </w:r>
      <w:r>
        <w:rPr>
          <w:rFonts w:ascii="Muli" w:hAnsi="Muli"/>
          <w:color w:val="000000" w:themeColor="text1"/>
        </w:rPr>
        <w:t xml:space="preserve">os porcentuales respecto al mes de julio y confirma el cambio de tendencia que comenzó a observarse durante la primavera.  </w:t>
      </w:r>
    </w:p>
    <w:p w14:paraId="44852BA9" w14:textId="14BBDD5F" w:rsidR="00161FA4" w:rsidRPr="00161FA4" w:rsidRDefault="00161FA4" w:rsidP="00161FA4">
      <w:pPr>
        <w:rPr>
          <w:rFonts w:ascii="Muli" w:hAnsi="Muli"/>
          <w:color w:val="000000" w:themeColor="text1"/>
        </w:rPr>
      </w:pPr>
      <w:r w:rsidRPr="00161FA4">
        <w:rPr>
          <w:rFonts w:ascii="Muli" w:hAnsi="Muli"/>
          <w:noProof/>
          <w:color w:val="000000" w:themeColor="text1"/>
        </w:rPr>
        <w:drawing>
          <wp:inline distT="0" distB="0" distL="0" distR="0" wp14:anchorId="6E2CB769" wp14:editId="1C014C8F">
            <wp:extent cx="4371205" cy="2459060"/>
            <wp:effectExtent l="0" t="0" r="0" b="0"/>
            <wp:docPr id="20194359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8571" cy="2463204"/>
                    </a:xfrm>
                    <a:prstGeom prst="rect">
                      <a:avLst/>
                    </a:prstGeom>
                    <a:noFill/>
                    <a:ln>
                      <a:noFill/>
                    </a:ln>
                  </pic:spPr>
                </pic:pic>
              </a:graphicData>
            </a:graphic>
          </wp:inline>
        </w:drawing>
      </w:r>
    </w:p>
    <w:p w14:paraId="178DDDC4" w14:textId="08BB730A" w:rsidR="005F704B" w:rsidRDefault="005F704B" w:rsidP="00CF0A63">
      <w:pPr>
        <w:rPr>
          <w:rFonts w:ascii="Muli" w:hAnsi="Muli"/>
          <w:color w:val="000000" w:themeColor="text1"/>
        </w:rPr>
      </w:pPr>
    </w:p>
    <w:p w14:paraId="7314F3E8" w14:textId="1A16D945" w:rsidR="005F704B" w:rsidRDefault="005F704B" w:rsidP="00CF0A63">
      <w:pPr>
        <w:rPr>
          <w:rFonts w:ascii="Muli" w:hAnsi="Muli"/>
          <w:color w:val="000000" w:themeColor="text1"/>
        </w:rPr>
      </w:pPr>
      <w:r>
        <w:rPr>
          <w:rFonts w:ascii="Muli" w:hAnsi="Muli"/>
          <w:color w:val="000000" w:themeColor="text1"/>
        </w:rPr>
        <w:lastRenderedPageBreak/>
        <w:t>El euríbor a 12 meses ha vuelto a superar durante el mes de agosto la barrera psicológica del 3% hasta alcanzar el 3,007% el 26 de agosto, después de haber registrado ya un 3,00</w:t>
      </w:r>
      <w:r w:rsidR="00DC6368">
        <w:rPr>
          <w:rFonts w:ascii="Muli" w:hAnsi="Muli"/>
          <w:color w:val="000000" w:themeColor="text1"/>
        </w:rPr>
        <w:t>3</w:t>
      </w:r>
      <w:r>
        <w:rPr>
          <w:rFonts w:ascii="Muli" w:hAnsi="Muli"/>
          <w:color w:val="000000" w:themeColor="text1"/>
        </w:rPr>
        <w:t>% el viernes 21</w:t>
      </w:r>
      <w:r w:rsidR="00E27B0C">
        <w:rPr>
          <w:rFonts w:ascii="Muli" w:hAnsi="Muli"/>
          <w:color w:val="000000" w:themeColor="text1"/>
        </w:rPr>
        <w:t xml:space="preserve"> y </w:t>
      </w:r>
      <w:r w:rsidR="00F770CD">
        <w:rPr>
          <w:rFonts w:ascii="Muli" w:hAnsi="Muli"/>
          <w:color w:val="000000" w:themeColor="text1"/>
        </w:rPr>
        <w:t>que se ha repetido hoy 31 de agosto</w:t>
      </w:r>
      <w:r>
        <w:rPr>
          <w:rFonts w:ascii="Muli" w:hAnsi="Muli"/>
          <w:color w:val="000000" w:themeColor="text1"/>
        </w:rPr>
        <w:t xml:space="preserve">. Se trata de los niveles diarios más elevados observados en más de dos años. Aunque conviene revisar la cifra media mensual en su conjunto, sí muestran una tendencia ascendente: tras situarse en el 2,245% en enero, el índice escaló hasta el 2,565% en marzo y continuó avanzando durante los meses siguientes. </w:t>
      </w:r>
    </w:p>
    <w:p w14:paraId="4B439BC1" w14:textId="5933DD3E" w:rsidR="008B5458" w:rsidRPr="009D6CDC" w:rsidRDefault="5E21CB12" w:rsidP="00CF0A63">
      <w:pPr>
        <w:rPr>
          <w:rFonts w:ascii="Muli" w:hAnsi="Muli"/>
          <w:color w:val="000000" w:themeColor="text1"/>
        </w:rPr>
      </w:pPr>
      <w:r w:rsidRPr="61FC88CE">
        <w:rPr>
          <w:rFonts w:ascii="Muli" w:hAnsi="Muli"/>
          <w:color w:val="000000" w:themeColor="text1"/>
        </w:rPr>
        <w:t>Laura Martínez, portavoz de iAhorro, señala que “</w:t>
      </w:r>
      <w:r w:rsidR="009D6CDC">
        <w:rPr>
          <w:rFonts w:ascii="Muli" w:hAnsi="Muli"/>
          <w:color w:val="000000" w:themeColor="text1"/>
        </w:rPr>
        <w:t xml:space="preserve">el euríbor </w:t>
      </w:r>
      <w:r w:rsidR="005F704B">
        <w:rPr>
          <w:rFonts w:ascii="Muli" w:hAnsi="Muli"/>
          <w:color w:val="000000" w:themeColor="text1"/>
        </w:rPr>
        <w:t>está adelantando un endurecimiento del precio del dinero por parte del BCE</w:t>
      </w:r>
      <w:r w:rsidRPr="61FC88CE">
        <w:rPr>
          <w:rFonts w:ascii="Muli" w:hAnsi="Muli"/>
          <w:color w:val="000000" w:themeColor="text1"/>
        </w:rPr>
        <w:t>”.</w:t>
      </w:r>
      <w:r w:rsidR="009D6CDC">
        <w:rPr>
          <w:rFonts w:ascii="Muli" w:hAnsi="Muli"/>
          <w:color w:val="000000" w:themeColor="text1"/>
        </w:rPr>
        <w:t xml:space="preserve"> </w:t>
      </w:r>
      <w:r w:rsidR="005F704B">
        <w:rPr>
          <w:rFonts w:ascii="Muli" w:hAnsi="Muli"/>
          <w:color w:val="000000" w:themeColor="text1"/>
        </w:rPr>
        <w:t xml:space="preserve">El mercado se mueve más rápido que los bancos centrales, que aún no han confirmado si habrá nuevas subidas de los tipos de interés, “lo que ya se está reflejando en la cuota mensual de las hipotecas a tipo variable”, señala. </w:t>
      </w:r>
    </w:p>
    <w:p w14:paraId="30F832FF" w14:textId="275513B3" w:rsidR="00F74EBC" w:rsidRDefault="00F74EBC" w:rsidP="00CF0A63">
      <w:pPr>
        <w:rPr>
          <w:rFonts w:ascii="Muli" w:hAnsi="Muli"/>
          <w:color w:val="000000" w:themeColor="text1"/>
        </w:rPr>
      </w:pPr>
    </w:p>
    <w:p w14:paraId="637AD76A" w14:textId="2C87109C" w:rsidR="008A2061" w:rsidRPr="000E1DB0" w:rsidRDefault="008A2061" w:rsidP="008A2061">
      <w:pPr>
        <w:rPr>
          <w:rFonts w:ascii="Montserrat" w:hAnsi="Montserrat"/>
          <w:b/>
          <w:bCs/>
          <w:color w:val="002060"/>
          <w:bdr w:val="none" w:sz="0" w:space="0" w:color="auto" w:frame="1"/>
          <w:shd w:val="clear" w:color="auto" w:fill="FFFFFF"/>
        </w:rPr>
      </w:pPr>
      <w:r>
        <w:rPr>
          <w:rFonts w:ascii="Montserrat" w:hAnsi="Montserrat"/>
          <w:b/>
          <w:bCs/>
          <w:color w:val="243962"/>
          <w:bdr w:val="none" w:sz="0" w:space="0" w:color="auto" w:frame="1"/>
          <w:shd w:val="clear" w:color="auto" w:fill="FFFFFF"/>
        </w:rPr>
        <w:t xml:space="preserve">Las hipotecas </w:t>
      </w:r>
      <w:r w:rsidR="3D265239" w:rsidRPr="0136D339">
        <w:rPr>
          <w:rFonts w:ascii="Montserrat" w:hAnsi="Montserrat"/>
          <w:b/>
          <w:bCs/>
          <w:color w:val="243962"/>
        </w:rPr>
        <w:t xml:space="preserve">suben en </w:t>
      </w:r>
      <w:r w:rsidR="005F704B">
        <w:rPr>
          <w:rFonts w:ascii="Montserrat" w:hAnsi="Montserrat"/>
          <w:b/>
          <w:bCs/>
          <w:color w:val="243962"/>
        </w:rPr>
        <w:t>agosto</w:t>
      </w:r>
      <w:r w:rsidR="3D265239" w:rsidRPr="0136D339">
        <w:rPr>
          <w:rFonts w:ascii="Montserrat" w:hAnsi="Montserrat"/>
          <w:b/>
          <w:bCs/>
          <w:color w:val="243962"/>
        </w:rPr>
        <w:t xml:space="preserve"> </w:t>
      </w:r>
      <w:r w:rsidR="3D265239" w:rsidRPr="000E1DB0">
        <w:rPr>
          <w:rFonts w:ascii="Montserrat" w:hAnsi="Montserrat"/>
          <w:b/>
          <w:bCs/>
          <w:color w:val="002060"/>
        </w:rPr>
        <w:t>hasta 1</w:t>
      </w:r>
      <w:r w:rsidR="005F704B" w:rsidRPr="000E1DB0">
        <w:rPr>
          <w:rFonts w:ascii="Montserrat" w:hAnsi="Montserrat"/>
          <w:b/>
          <w:bCs/>
          <w:color w:val="002060"/>
        </w:rPr>
        <w:t>5</w:t>
      </w:r>
      <w:r w:rsidR="000E1DB0" w:rsidRPr="000E1DB0">
        <w:rPr>
          <w:rFonts w:ascii="Montserrat" w:hAnsi="Montserrat"/>
          <w:b/>
          <w:bCs/>
          <w:color w:val="002060"/>
        </w:rPr>
        <w:t>4</w:t>
      </w:r>
      <w:r w:rsidR="3D265239" w:rsidRPr="000E1DB0">
        <w:rPr>
          <w:rFonts w:ascii="Montserrat" w:hAnsi="Montserrat"/>
          <w:b/>
          <w:bCs/>
          <w:color w:val="002060"/>
        </w:rPr>
        <w:t xml:space="preserve"> euros al mes</w:t>
      </w:r>
      <w:r w:rsidR="00164271" w:rsidRPr="000E1DB0">
        <w:rPr>
          <w:rFonts w:ascii="Montserrat" w:hAnsi="Montserrat"/>
          <w:b/>
          <w:color w:val="002060"/>
        </w:rPr>
        <w:t xml:space="preserve"> </w:t>
      </w:r>
    </w:p>
    <w:p w14:paraId="7DFF8899" w14:textId="3E636980" w:rsidR="005F704B" w:rsidRDefault="005F704B" w:rsidP="00CF0A63">
      <w:pPr>
        <w:rPr>
          <w:rFonts w:ascii="Muli" w:hAnsi="Muli"/>
          <w:color w:val="000000" w:themeColor="text1"/>
        </w:rPr>
      </w:pPr>
      <w:r>
        <w:rPr>
          <w:rFonts w:ascii="Muli" w:hAnsi="Muli"/>
          <w:color w:val="000000" w:themeColor="text1"/>
        </w:rPr>
        <w:t>La subida d</w:t>
      </w:r>
      <w:r w:rsidRPr="000E1DB0">
        <w:rPr>
          <w:rFonts w:ascii="Muli" w:hAnsi="Muli"/>
        </w:rPr>
        <w:t>e 0,83</w:t>
      </w:r>
      <w:r w:rsidR="006E418D" w:rsidRPr="000E1DB0">
        <w:rPr>
          <w:rFonts w:ascii="Muli" w:hAnsi="Muli"/>
        </w:rPr>
        <w:t>6</w:t>
      </w:r>
      <w:r w:rsidRPr="000E1DB0">
        <w:rPr>
          <w:rFonts w:ascii="Muli" w:hAnsi="Muli"/>
        </w:rPr>
        <w:t xml:space="preserve"> </w:t>
      </w:r>
      <w:r>
        <w:rPr>
          <w:rFonts w:ascii="Muli" w:hAnsi="Muli"/>
          <w:color w:val="000000" w:themeColor="text1"/>
        </w:rPr>
        <w:t xml:space="preserve">puntos respecto al mismo mes de 2025 tendrá un impacto en la cuota mensual de las hipotecas. La consecuencia será directa para aquellos hipotecados a tipo variable cuya revisión anual corresponda al mes de agosto. </w:t>
      </w:r>
    </w:p>
    <w:p w14:paraId="58CBF910" w14:textId="77777777" w:rsidR="005F704B" w:rsidRDefault="005F704B" w:rsidP="00CF0A63">
      <w:pPr>
        <w:rPr>
          <w:rFonts w:ascii="Muli" w:hAnsi="Muli"/>
          <w:color w:val="000000" w:themeColor="text1"/>
        </w:rPr>
      </w:pPr>
    </w:p>
    <w:p w14:paraId="0177AB80" w14:textId="4B9856BE" w:rsidR="00EE7D3B" w:rsidRPr="00EE7D3B" w:rsidRDefault="00EE7D3B" w:rsidP="00EE7D3B">
      <w:pPr>
        <w:rPr>
          <w:rFonts w:ascii="Muli" w:hAnsi="Muli"/>
          <w:color w:val="000000" w:themeColor="text1"/>
        </w:rPr>
      </w:pPr>
      <w:r w:rsidRPr="00EE7D3B">
        <w:rPr>
          <w:rFonts w:ascii="Muli" w:hAnsi="Muli"/>
          <w:noProof/>
          <w:color w:val="000000" w:themeColor="text1"/>
        </w:rPr>
        <w:drawing>
          <wp:inline distT="0" distB="0" distL="0" distR="0" wp14:anchorId="73CFAEF4" wp14:editId="5B210A88">
            <wp:extent cx="5400040" cy="2081530"/>
            <wp:effectExtent l="0" t="0" r="0" b="0"/>
            <wp:docPr id="7913445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081530"/>
                    </a:xfrm>
                    <a:prstGeom prst="rect">
                      <a:avLst/>
                    </a:prstGeom>
                    <a:noFill/>
                    <a:ln>
                      <a:noFill/>
                    </a:ln>
                  </pic:spPr>
                </pic:pic>
              </a:graphicData>
            </a:graphic>
          </wp:inline>
        </w:drawing>
      </w:r>
    </w:p>
    <w:p w14:paraId="2C503008" w14:textId="10FEE525" w:rsidR="005F704B" w:rsidRDefault="005F704B" w:rsidP="00CF0A63">
      <w:pPr>
        <w:rPr>
          <w:rFonts w:ascii="Muli" w:hAnsi="Muli"/>
          <w:color w:val="000000" w:themeColor="text1"/>
        </w:rPr>
      </w:pPr>
    </w:p>
    <w:p w14:paraId="0C54916A" w14:textId="3E6A6162" w:rsidR="005F704B" w:rsidRPr="00CB6D51" w:rsidRDefault="005F704B" w:rsidP="00CF0A63">
      <w:pPr>
        <w:rPr>
          <w:rFonts w:ascii="Muli" w:hAnsi="Muli"/>
        </w:rPr>
      </w:pPr>
      <w:r w:rsidRPr="00CB6D51">
        <w:rPr>
          <w:rFonts w:ascii="Muli" w:hAnsi="Muli"/>
        </w:rPr>
        <w:t xml:space="preserve">Para visualizar las consecuencias de esta subida en el bolsillo de las familias, tomamos como referencia dos supuestos de hipotecas variables a 30 años, con revisión anual y un diferencial de euríbor +0,60%. En el caso de una hipoteca de 350.000 euros, la cuota pasaría de aproximadamente 1.422,18 euros mensuales en agosto de 2025 a </w:t>
      </w:r>
      <w:r w:rsidR="00CB6D51" w:rsidRPr="00CB6D51">
        <w:rPr>
          <w:rFonts w:ascii="Muli" w:hAnsi="Muli"/>
        </w:rPr>
        <w:t>1.576,83</w:t>
      </w:r>
      <w:r w:rsidRPr="00CB6D51">
        <w:rPr>
          <w:rFonts w:ascii="Muli" w:hAnsi="Muli"/>
        </w:rPr>
        <w:t xml:space="preserve"> euros en agosto de 2026. Esto supone un incremento de </w:t>
      </w:r>
      <w:r w:rsidR="00CB6D51" w:rsidRPr="00CB6D51">
        <w:rPr>
          <w:rFonts w:ascii="Muli" w:hAnsi="Muli"/>
        </w:rPr>
        <w:t>154,65</w:t>
      </w:r>
      <w:r w:rsidRPr="00CB6D51">
        <w:rPr>
          <w:rFonts w:ascii="Muli" w:hAnsi="Muli"/>
        </w:rPr>
        <w:t xml:space="preserve"> euros al mes o alrededor de 1.</w:t>
      </w:r>
      <w:r w:rsidR="00CB6D51" w:rsidRPr="00CB6D51">
        <w:rPr>
          <w:rFonts w:ascii="Muli" w:hAnsi="Muli"/>
        </w:rPr>
        <w:t>855,76</w:t>
      </w:r>
      <w:r w:rsidRPr="00CB6D51">
        <w:rPr>
          <w:rFonts w:ascii="Muli" w:hAnsi="Muli"/>
        </w:rPr>
        <w:t xml:space="preserve"> euros más al año. Mientras que, para una hipoteca de 200.000 euros, la cuota pasaría de aproximadamente 812,67 euros a </w:t>
      </w:r>
      <w:r w:rsidR="006234CF" w:rsidRPr="00CB6D51">
        <w:rPr>
          <w:rFonts w:ascii="Muli" w:hAnsi="Muli"/>
        </w:rPr>
        <w:t>901,04</w:t>
      </w:r>
      <w:r w:rsidRPr="00CB6D51">
        <w:rPr>
          <w:rFonts w:ascii="Muli" w:hAnsi="Muli"/>
        </w:rPr>
        <w:t xml:space="preserve"> euros mensuales tras la revisión. En este caso, el incremento sería de </w:t>
      </w:r>
      <w:r w:rsidR="006234CF" w:rsidRPr="00CB6D51">
        <w:rPr>
          <w:rFonts w:ascii="Muli" w:hAnsi="Muli"/>
        </w:rPr>
        <w:t>88,37</w:t>
      </w:r>
      <w:r w:rsidRPr="00CB6D51">
        <w:rPr>
          <w:rFonts w:ascii="Muli" w:hAnsi="Muli"/>
        </w:rPr>
        <w:t xml:space="preserve"> euros al mes, lo que equivale a unos 1.</w:t>
      </w:r>
      <w:r w:rsidR="006234CF" w:rsidRPr="00CB6D51">
        <w:rPr>
          <w:rFonts w:ascii="Muli" w:hAnsi="Muli"/>
        </w:rPr>
        <w:t>060,44</w:t>
      </w:r>
      <w:r w:rsidRPr="00CB6D51">
        <w:rPr>
          <w:rFonts w:ascii="Muli" w:hAnsi="Muli"/>
        </w:rPr>
        <w:t xml:space="preserve"> euros adicionales al año. </w:t>
      </w:r>
    </w:p>
    <w:p w14:paraId="600532BD" w14:textId="3F9D3059" w:rsidR="005F704B" w:rsidRDefault="005F704B" w:rsidP="00CF0A63">
      <w:pPr>
        <w:rPr>
          <w:rFonts w:ascii="Muli" w:hAnsi="Muli"/>
          <w:color w:val="000000" w:themeColor="text1"/>
        </w:rPr>
      </w:pPr>
      <w:r>
        <w:rPr>
          <w:rFonts w:ascii="Muli" w:hAnsi="Muli"/>
          <w:color w:val="000000" w:themeColor="text1"/>
        </w:rPr>
        <w:lastRenderedPageBreak/>
        <w:t xml:space="preserve">El impacto es además algo mayor que el registrado en julio. El mes pasado, para estos mismos supuestos, la revisión anual suponía un incremento aproximado de 82 euros al mes para una hipoteca de 200.000 euros y de 144 euros para una de 350.000 euros. </w:t>
      </w:r>
    </w:p>
    <w:p w14:paraId="325E7090" w14:textId="77777777" w:rsidR="004E5311" w:rsidRDefault="004E5311" w:rsidP="310D3841">
      <w:pPr>
        <w:rPr>
          <w:rFonts w:ascii="Montserrat" w:hAnsi="Montserrat"/>
          <w:b/>
          <w:bCs/>
          <w:color w:val="243962"/>
        </w:rPr>
      </w:pPr>
    </w:p>
    <w:p w14:paraId="2D793CAD" w14:textId="5CA10498" w:rsidR="310D3841" w:rsidRDefault="005F704B" w:rsidP="310D3841">
      <w:pPr>
        <w:rPr>
          <w:rFonts w:ascii="Montserrat" w:hAnsi="Montserrat"/>
          <w:b/>
          <w:color w:val="243962"/>
        </w:rPr>
      </w:pPr>
      <w:r>
        <w:rPr>
          <w:rFonts w:ascii="Montserrat" w:hAnsi="Montserrat"/>
          <w:b/>
          <w:bCs/>
          <w:color w:val="243962"/>
        </w:rPr>
        <w:t xml:space="preserve">El mercado se adelanta a la próxima decisión del BCE </w:t>
      </w:r>
    </w:p>
    <w:p w14:paraId="1308A842" w14:textId="00784878" w:rsidR="005F704B" w:rsidRDefault="005F704B" w:rsidP="00113AD7">
      <w:pPr>
        <w:rPr>
          <w:rFonts w:ascii="Muli" w:hAnsi="Muli"/>
          <w:color w:val="000000" w:themeColor="text1"/>
        </w:rPr>
      </w:pPr>
      <w:r>
        <w:rPr>
          <w:rFonts w:ascii="Muli" w:hAnsi="Muli"/>
          <w:color w:val="000000" w:themeColor="text1"/>
        </w:rPr>
        <w:t>El foco se sitúa en el próximo 10 de septiembre, cuando se reúne el BCE para decidir las políticas monetarias de los meses de otoño. El Banco Central ha mantenido en el 2,25</w:t>
      </w:r>
      <w:r w:rsidR="008050CD">
        <w:rPr>
          <w:rFonts w:ascii="Muli" w:hAnsi="Muli"/>
          <w:color w:val="000000" w:themeColor="text1"/>
        </w:rPr>
        <w:t>% los</w:t>
      </w:r>
      <w:r>
        <w:rPr>
          <w:rFonts w:ascii="Muli" w:hAnsi="Muli"/>
          <w:color w:val="000000" w:themeColor="text1"/>
        </w:rPr>
        <w:t xml:space="preserve"> tipos desde la subida de 25 puntos del mes de junio, pero la tendencia puede discurrir hacia las subidas: “los cambios en la cuota pueden ser considerables con un euríbor del 3%, por lo que conviene tener en cuenta este cambio en el presupuesto de la familia”, advierte Laura Martínez. La portavoz recomienda a los hipotecados la revisión de las condiciones de su préstamo para ahorrar lo máximo posible. En un contexto marcado por las mayores presiones inflacionistas derivadas de principalmente el encarecimiento energético, la evolución de los precios durante los próximos meses será determinante para conocer los siguientes movimientos de política monetario. </w:t>
      </w:r>
    </w:p>
    <w:p w14:paraId="5D4874FF" w14:textId="77777777" w:rsidR="005F704B" w:rsidRDefault="005F704B" w:rsidP="005F704B">
      <w:pPr>
        <w:rPr>
          <w:rFonts w:ascii="Muli" w:hAnsi="Muli"/>
          <w:color w:val="000000" w:themeColor="text1"/>
        </w:rPr>
      </w:pPr>
      <w:r>
        <w:rPr>
          <w:rFonts w:ascii="Muli" w:hAnsi="Muli"/>
          <w:color w:val="000000" w:themeColor="text1"/>
        </w:rPr>
        <w:t xml:space="preserve">El verano ha sido, pese al dato ascendente, de tranquilidad habitual en época estival entre las entidades. El único banco que ha encarecido su oferta ha sido Abanca, al subir su hipoteca fija del 2,85% al 2,95% de TIN. En la parte variable, ING ha rebajado el diferencial de su Hipoteca Naranja Variable del 0,85% al 0,65%. En la parte mixta Sabadell ha recudido la TAE de su hipoteca a tres años del 3,94% al 3,61% sin mover el tipo fijo inicial. </w:t>
      </w:r>
    </w:p>
    <w:p w14:paraId="48722028" w14:textId="77777777" w:rsidR="005F704B" w:rsidRDefault="005F704B" w:rsidP="00113AD7">
      <w:pPr>
        <w:rPr>
          <w:rFonts w:ascii="Muli" w:hAnsi="Muli"/>
          <w:color w:val="000000" w:themeColor="text1"/>
        </w:rPr>
      </w:pPr>
    </w:p>
    <w:p w14:paraId="4C8E8464" w14:textId="77777777" w:rsidR="005F704B" w:rsidRDefault="005F704B" w:rsidP="00113AD7">
      <w:pPr>
        <w:rPr>
          <w:rStyle w:val="contentpasted0"/>
          <w:rFonts w:ascii="Muli" w:hAnsi="Muli"/>
          <w:b/>
          <w:bCs/>
          <w:color w:val="243962"/>
        </w:rPr>
      </w:pPr>
    </w:p>
    <w:p w14:paraId="4186F750" w14:textId="3C74D980" w:rsidR="00113AD7" w:rsidRDefault="527DAA66" w:rsidP="00113AD7">
      <w:r w:rsidRPr="0917CDB9">
        <w:rPr>
          <w:rStyle w:val="contentpasted0"/>
          <w:rFonts w:ascii="Muli" w:hAnsi="Muli"/>
          <w:b/>
          <w:bCs/>
          <w:color w:val="243962"/>
        </w:rPr>
        <w:t xml:space="preserve">Si necesita más información o declaraciones en formato audiovisual: </w:t>
      </w:r>
      <w:r w:rsidRPr="0917CDB9">
        <w:rPr>
          <w:rStyle w:val="contentpasted0"/>
          <w:rFonts w:ascii="Muli" w:hAnsi="Muli"/>
          <w:color w:val="000000" w:themeColor="text1"/>
        </w:rPr>
        <w:t>Póngase en contacto con el departamento de Comunicación. </w:t>
      </w:r>
    </w:p>
    <w:p w14:paraId="6144B169" w14:textId="5AE742B6" w:rsidR="0917CDB9" w:rsidRDefault="0917CDB9" w:rsidP="0917CDB9">
      <w:pPr>
        <w:rPr>
          <w:rStyle w:val="contentpasted0"/>
          <w:rFonts w:ascii="Muli" w:hAnsi="Muli"/>
          <w:color w:val="000000" w:themeColor="text1"/>
        </w:rPr>
      </w:pPr>
    </w:p>
    <w:p w14:paraId="5DC76D65" w14:textId="0AF67830" w:rsidR="006F790A" w:rsidRDefault="006F790A" w:rsidP="0917CDB9">
      <w:pPr>
        <w:rPr>
          <w:rStyle w:val="contentpasted0"/>
          <w:rFonts w:ascii="Muli" w:hAnsi="Muli"/>
          <w:color w:val="000000" w:themeColor="text1"/>
        </w:rPr>
      </w:pPr>
    </w:p>
    <w:p w14:paraId="019FB4B0" w14:textId="77777777" w:rsidR="006F790A" w:rsidRDefault="006F790A" w:rsidP="0917CDB9">
      <w:pPr>
        <w:rPr>
          <w:rStyle w:val="contentpasted0"/>
          <w:rFonts w:ascii="Muli" w:hAnsi="Muli"/>
          <w:color w:val="000000" w:themeColor="text1"/>
        </w:rPr>
      </w:pPr>
    </w:p>
    <w:p w14:paraId="41B074EE" w14:textId="77777777" w:rsidR="006F790A" w:rsidRDefault="006F790A" w:rsidP="0917CDB9">
      <w:pPr>
        <w:rPr>
          <w:rStyle w:val="contentpasted0"/>
          <w:rFonts w:ascii="Muli" w:hAnsi="Muli"/>
          <w:color w:val="000000" w:themeColor="text1"/>
        </w:rPr>
      </w:pPr>
    </w:p>
    <w:p w14:paraId="71CA93EC" w14:textId="77777777" w:rsidR="00113AD7" w:rsidRDefault="00113AD7" w:rsidP="50A4E4E4">
      <w:pPr>
        <w:rPr>
          <w:rFonts w:ascii="Muli" w:hAnsi="Muli"/>
          <w:b/>
          <w:bCs/>
          <w:color w:val="243962"/>
        </w:rPr>
      </w:pPr>
      <w:r w:rsidRPr="50A4E4E4">
        <w:rPr>
          <w:rFonts w:ascii="Muli" w:hAnsi="Muli"/>
          <w:b/>
          <w:bCs/>
          <w:color w:val="243962"/>
        </w:rPr>
        <w:t xml:space="preserve">Sobre iAhorro </w:t>
      </w:r>
    </w:p>
    <w:p w14:paraId="0399B91A" w14:textId="77777777" w:rsidR="00113AD7" w:rsidRDefault="00113AD7" w:rsidP="00113AD7">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3B5ED15E" w14:textId="77777777" w:rsidR="00113AD7" w:rsidRDefault="00113AD7" w:rsidP="00113AD7">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3F92E275" w14:textId="77777777" w:rsidR="00113AD7" w:rsidRDefault="00113AD7" w:rsidP="00113AD7">
      <w:pPr>
        <w:rPr>
          <w:rFonts w:ascii="Muli" w:hAnsi="Muli"/>
        </w:rPr>
      </w:pPr>
      <w:r>
        <w:rPr>
          <w:rFonts w:ascii="Muli" w:hAnsi="Muli"/>
        </w:rPr>
        <w:lastRenderedPageBreak/>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38524656" w14:textId="60C3F123" w:rsidR="008F7397" w:rsidRDefault="00113AD7">
      <w:r>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sectPr w:rsidR="008F7397" w:rsidSect="00113AD7">
      <w:headerReference w:type="default" r:id="rId9"/>
      <w:footerReference w:type="default" r:id="rId10"/>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5C6AF" w14:textId="77777777" w:rsidR="00785452" w:rsidRDefault="00785452" w:rsidP="00113AD7">
      <w:pPr>
        <w:spacing w:after="0" w:line="240" w:lineRule="auto"/>
      </w:pPr>
      <w:r>
        <w:separator/>
      </w:r>
    </w:p>
  </w:endnote>
  <w:endnote w:type="continuationSeparator" w:id="0">
    <w:p w14:paraId="5537A443" w14:textId="77777777" w:rsidR="00785452" w:rsidRDefault="00785452" w:rsidP="0011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uli">
    <w:altName w:val="Calibri"/>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92" w:type="dxa"/>
      <w:tblLook w:val="04A0" w:firstRow="1" w:lastRow="0" w:firstColumn="1" w:lastColumn="0" w:noHBand="0" w:noVBand="1"/>
    </w:tblPr>
    <w:tblGrid>
      <w:gridCol w:w="1980"/>
      <w:gridCol w:w="2745"/>
      <w:gridCol w:w="2367"/>
    </w:tblGrid>
    <w:tr w:rsidR="00900DC5" w:rsidRPr="006C5338" w14:paraId="2FC56323" w14:textId="77777777" w:rsidTr="50A4E4E4">
      <w:trPr>
        <w:trHeight w:val="132"/>
      </w:trPr>
      <w:tc>
        <w:tcPr>
          <w:tcW w:w="1980" w:type="dxa"/>
          <w:vAlign w:val="center"/>
        </w:tcPr>
        <w:p w14:paraId="113E7E87" w14:textId="77777777" w:rsidR="00900DC5" w:rsidRDefault="00900DC5" w:rsidP="00D400F9">
          <w:pPr>
            <w:tabs>
              <w:tab w:val="left" w:pos="1036"/>
            </w:tabs>
            <w:rPr>
              <w:b/>
              <w:sz w:val="18"/>
              <w:szCs w:val="18"/>
            </w:rPr>
          </w:pPr>
          <w:r>
            <w:rPr>
              <w:noProof/>
            </w:rPr>
            <w:drawing>
              <wp:inline distT="0" distB="0" distL="0" distR="0" wp14:anchorId="3D9A1930" wp14:editId="5BC522F9">
                <wp:extent cx="1041991" cy="493123"/>
                <wp:effectExtent l="0" t="0" r="0" b="0"/>
                <wp:docPr id="42289635" name="Gráfico 42289635">
                  <a:extLst xmlns:a="http://schemas.openxmlformats.org/drawingml/2006/main">
                    <a:ext uri="{FF2B5EF4-FFF2-40B4-BE49-F238E27FC236}">
                      <a16:creationId xmlns:a16="http://schemas.microsoft.com/office/drawing/2014/main" id="{B17D29EC-43E9-49AA-8C12-ACF2DF80A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745" w:type="dxa"/>
          <w:vAlign w:val="center"/>
        </w:tcPr>
        <w:p w14:paraId="2588B652" w14:textId="77777777" w:rsidR="00900DC5" w:rsidRDefault="00900DC5" w:rsidP="00D400F9">
          <w:pPr>
            <w:tabs>
              <w:tab w:val="left" w:pos="1036"/>
            </w:tabs>
            <w:rPr>
              <w:b/>
              <w:sz w:val="18"/>
              <w:szCs w:val="18"/>
            </w:rPr>
          </w:pPr>
        </w:p>
        <w:p w14:paraId="08C720E3" w14:textId="77777777" w:rsidR="00900DC5" w:rsidRPr="00204B1C" w:rsidRDefault="00900DC5" w:rsidP="00D400F9">
          <w:pPr>
            <w:tabs>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5A4567AD" w14:textId="77777777" w:rsidR="00900DC5" w:rsidRPr="00204B1C" w:rsidRDefault="00900DC5" w:rsidP="00D400F9">
          <w:pPr>
            <w:tabs>
              <w:tab w:val="left" w:pos="1036"/>
            </w:tabs>
            <w:rPr>
              <w:b/>
              <w:sz w:val="18"/>
              <w:szCs w:val="18"/>
            </w:rPr>
          </w:pPr>
        </w:p>
      </w:tc>
      <w:tc>
        <w:tcPr>
          <w:tcW w:w="2367" w:type="dxa"/>
          <w:vAlign w:val="center"/>
        </w:tcPr>
        <w:p w14:paraId="33A72F11" w14:textId="77777777" w:rsidR="00900DC5" w:rsidRPr="00B34F7A" w:rsidRDefault="00900DC5" w:rsidP="00D400F9">
          <w:pPr>
            <w:tabs>
              <w:tab w:val="left" w:pos="1036"/>
            </w:tabs>
            <w:rPr>
              <w:b/>
              <w:sz w:val="18"/>
              <w:szCs w:val="18"/>
              <w:lang w:val="pt-PT"/>
            </w:rPr>
          </w:pPr>
        </w:p>
      </w:tc>
    </w:tr>
  </w:tbl>
  <w:p w14:paraId="427905E3" w14:textId="77777777" w:rsidR="00900DC5" w:rsidRPr="006C5338" w:rsidRDefault="00900DC5">
    <w:pP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56EF" w14:textId="77777777" w:rsidR="00785452" w:rsidRDefault="00785452" w:rsidP="00113AD7">
      <w:pPr>
        <w:spacing w:after="0" w:line="240" w:lineRule="auto"/>
      </w:pPr>
      <w:r>
        <w:separator/>
      </w:r>
    </w:p>
  </w:footnote>
  <w:footnote w:type="continuationSeparator" w:id="0">
    <w:p w14:paraId="271087FF" w14:textId="77777777" w:rsidR="00785452" w:rsidRDefault="00785452" w:rsidP="0011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9189" w14:textId="77777777" w:rsidR="00900DC5" w:rsidRDefault="00900DC5" w:rsidP="005F2F9F">
    <w:pPr>
      <w:tabs>
        <w:tab w:val="left" w:pos="3415"/>
        <w:tab w:val="left" w:pos="3492"/>
      </w:tabs>
    </w:pPr>
    <w:r w:rsidRPr="00942871">
      <w:rPr>
        <w:noProof/>
      </w:rPr>
      <w:drawing>
        <wp:anchor distT="0" distB="0" distL="114300" distR="114300" simplePos="0" relativeHeight="251658240" behindDoc="0" locked="0" layoutInCell="1" allowOverlap="1" wp14:anchorId="36D43D79" wp14:editId="07470F38">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a:extLst xmlns:a="http://schemas.openxmlformats.org/drawingml/2006/main">
              <a:ext uri="{FF2B5EF4-FFF2-40B4-BE49-F238E27FC236}">
                <a16:creationId xmlns:a16="http://schemas.microsoft.com/office/drawing/2014/main" id="{AEC091C6-CAFD-4367-AA76-739AE34DD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4C1F9D07" wp14:editId="73D7EC88">
          <wp:extent cx="1945758" cy="921312"/>
          <wp:effectExtent l="0" t="0" r="0" b="0"/>
          <wp:docPr id="1228877611" name="Gráfico 1228877611">
            <a:extLst xmlns:a="http://schemas.openxmlformats.org/drawingml/2006/main">
              <a:ext uri="{FF2B5EF4-FFF2-40B4-BE49-F238E27FC236}">
                <a16:creationId xmlns:a16="http://schemas.microsoft.com/office/drawing/2014/main" id="{4202698A-129F-4F68-9EED-5DC9244B6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62502922" w14:textId="77777777" w:rsidR="00900DC5" w:rsidRDefault="00900DC5" w:rsidP="005F2F9F">
    <w:pPr>
      <w:tabs>
        <w:tab w:val="left" w:pos="3415"/>
        <w:tab w:val="left" w:pos="34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D7"/>
    <w:rsid w:val="000010D4"/>
    <w:rsid w:val="000011A0"/>
    <w:rsid w:val="00003138"/>
    <w:rsid w:val="00007B1D"/>
    <w:rsid w:val="00010174"/>
    <w:rsid w:val="000116F7"/>
    <w:rsid w:val="0001363E"/>
    <w:rsid w:val="00021F60"/>
    <w:rsid w:val="00024BC1"/>
    <w:rsid w:val="00030CD6"/>
    <w:rsid w:val="000313E2"/>
    <w:rsid w:val="00033D09"/>
    <w:rsid w:val="000342F9"/>
    <w:rsid w:val="00037614"/>
    <w:rsid w:val="00040F4A"/>
    <w:rsid w:val="00041F20"/>
    <w:rsid w:val="00042B94"/>
    <w:rsid w:val="00044BF0"/>
    <w:rsid w:val="000475B9"/>
    <w:rsid w:val="00047DB5"/>
    <w:rsid w:val="00052064"/>
    <w:rsid w:val="0005306D"/>
    <w:rsid w:val="000566C6"/>
    <w:rsid w:val="00064100"/>
    <w:rsid w:val="00070224"/>
    <w:rsid w:val="00070F56"/>
    <w:rsid w:val="000714DF"/>
    <w:rsid w:val="0007715B"/>
    <w:rsid w:val="0007793D"/>
    <w:rsid w:val="00077FF3"/>
    <w:rsid w:val="0008257A"/>
    <w:rsid w:val="0008326F"/>
    <w:rsid w:val="00084F55"/>
    <w:rsid w:val="00085B10"/>
    <w:rsid w:val="00087623"/>
    <w:rsid w:val="00093569"/>
    <w:rsid w:val="00093707"/>
    <w:rsid w:val="00094EDE"/>
    <w:rsid w:val="00096E97"/>
    <w:rsid w:val="000A14BD"/>
    <w:rsid w:val="000A43C8"/>
    <w:rsid w:val="000A48A1"/>
    <w:rsid w:val="000A6987"/>
    <w:rsid w:val="000B0210"/>
    <w:rsid w:val="000B2FD2"/>
    <w:rsid w:val="000B648E"/>
    <w:rsid w:val="000B6CC3"/>
    <w:rsid w:val="000B75A3"/>
    <w:rsid w:val="000B7D09"/>
    <w:rsid w:val="000C382A"/>
    <w:rsid w:val="000C5D82"/>
    <w:rsid w:val="000C6977"/>
    <w:rsid w:val="000D0BEF"/>
    <w:rsid w:val="000D2D2E"/>
    <w:rsid w:val="000D2DCA"/>
    <w:rsid w:val="000D56A2"/>
    <w:rsid w:val="000D5BF4"/>
    <w:rsid w:val="000E0B87"/>
    <w:rsid w:val="000E1DB0"/>
    <w:rsid w:val="000E3419"/>
    <w:rsid w:val="000E375F"/>
    <w:rsid w:val="000E615C"/>
    <w:rsid w:val="000F0FB0"/>
    <w:rsid w:val="000F1142"/>
    <w:rsid w:val="000F210A"/>
    <w:rsid w:val="000F2E3C"/>
    <w:rsid w:val="000F4A71"/>
    <w:rsid w:val="000F4F24"/>
    <w:rsid w:val="000F61BE"/>
    <w:rsid w:val="00100AE8"/>
    <w:rsid w:val="00102BDD"/>
    <w:rsid w:val="001110AC"/>
    <w:rsid w:val="00111869"/>
    <w:rsid w:val="00113AD7"/>
    <w:rsid w:val="001254CE"/>
    <w:rsid w:val="001259B9"/>
    <w:rsid w:val="00130373"/>
    <w:rsid w:val="00130F13"/>
    <w:rsid w:val="001343C0"/>
    <w:rsid w:val="00142B8A"/>
    <w:rsid w:val="0014369C"/>
    <w:rsid w:val="001515C5"/>
    <w:rsid w:val="001518C0"/>
    <w:rsid w:val="001556ED"/>
    <w:rsid w:val="00155BB4"/>
    <w:rsid w:val="00161FA4"/>
    <w:rsid w:val="00162BCB"/>
    <w:rsid w:val="00164271"/>
    <w:rsid w:val="001668D7"/>
    <w:rsid w:val="0016746E"/>
    <w:rsid w:val="0016792E"/>
    <w:rsid w:val="001723D5"/>
    <w:rsid w:val="001772C2"/>
    <w:rsid w:val="001774D8"/>
    <w:rsid w:val="001777BC"/>
    <w:rsid w:val="00181A56"/>
    <w:rsid w:val="00184D2A"/>
    <w:rsid w:val="00187A5A"/>
    <w:rsid w:val="00187D6B"/>
    <w:rsid w:val="00187F5F"/>
    <w:rsid w:val="001903B9"/>
    <w:rsid w:val="00194A33"/>
    <w:rsid w:val="00196150"/>
    <w:rsid w:val="0019629A"/>
    <w:rsid w:val="001977F9"/>
    <w:rsid w:val="001A0D58"/>
    <w:rsid w:val="001A2070"/>
    <w:rsid w:val="001B0BA5"/>
    <w:rsid w:val="001B0F85"/>
    <w:rsid w:val="001B5D54"/>
    <w:rsid w:val="001B6DCC"/>
    <w:rsid w:val="001C0F50"/>
    <w:rsid w:val="001C2FD3"/>
    <w:rsid w:val="001C4704"/>
    <w:rsid w:val="001C636F"/>
    <w:rsid w:val="001D02DD"/>
    <w:rsid w:val="001D1541"/>
    <w:rsid w:val="001D156D"/>
    <w:rsid w:val="001D5903"/>
    <w:rsid w:val="001D7769"/>
    <w:rsid w:val="001E1147"/>
    <w:rsid w:val="001E373F"/>
    <w:rsid w:val="001E38BF"/>
    <w:rsid w:val="001E4C13"/>
    <w:rsid w:val="001E5DA6"/>
    <w:rsid w:val="001E6BD5"/>
    <w:rsid w:val="001E7010"/>
    <w:rsid w:val="001F3D9C"/>
    <w:rsid w:val="001F5CDC"/>
    <w:rsid w:val="001F785B"/>
    <w:rsid w:val="0020011E"/>
    <w:rsid w:val="00201A25"/>
    <w:rsid w:val="00204233"/>
    <w:rsid w:val="0020573F"/>
    <w:rsid w:val="00211235"/>
    <w:rsid w:val="00211A03"/>
    <w:rsid w:val="00212E4F"/>
    <w:rsid w:val="002135E4"/>
    <w:rsid w:val="00223DC4"/>
    <w:rsid w:val="00224AFC"/>
    <w:rsid w:val="00226460"/>
    <w:rsid w:val="002317BC"/>
    <w:rsid w:val="0023231A"/>
    <w:rsid w:val="00232C76"/>
    <w:rsid w:val="00233D31"/>
    <w:rsid w:val="00241EFA"/>
    <w:rsid w:val="002421B6"/>
    <w:rsid w:val="00245FAB"/>
    <w:rsid w:val="0024694D"/>
    <w:rsid w:val="00247EEC"/>
    <w:rsid w:val="002509DC"/>
    <w:rsid w:val="002526CC"/>
    <w:rsid w:val="00255AB2"/>
    <w:rsid w:val="002562BA"/>
    <w:rsid w:val="00261E28"/>
    <w:rsid w:val="002656F7"/>
    <w:rsid w:val="00273643"/>
    <w:rsid w:val="002742B6"/>
    <w:rsid w:val="00274C6E"/>
    <w:rsid w:val="00275C89"/>
    <w:rsid w:val="00276EA2"/>
    <w:rsid w:val="002770B7"/>
    <w:rsid w:val="00277D75"/>
    <w:rsid w:val="0028224E"/>
    <w:rsid w:val="002835B6"/>
    <w:rsid w:val="002870A9"/>
    <w:rsid w:val="002876E7"/>
    <w:rsid w:val="00291B79"/>
    <w:rsid w:val="00291C0D"/>
    <w:rsid w:val="00293388"/>
    <w:rsid w:val="002953C1"/>
    <w:rsid w:val="002A095E"/>
    <w:rsid w:val="002A106B"/>
    <w:rsid w:val="002A13B2"/>
    <w:rsid w:val="002A1630"/>
    <w:rsid w:val="002A1F04"/>
    <w:rsid w:val="002B0DD5"/>
    <w:rsid w:val="002B16A2"/>
    <w:rsid w:val="002B1C94"/>
    <w:rsid w:val="002B496D"/>
    <w:rsid w:val="002B54E8"/>
    <w:rsid w:val="002B785E"/>
    <w:rsid w:val="002C18AB"/>
    <w:rsid w:val="002C4EA0"/>
    <w:rsid w:val="002C52E5"/>
    <w:rsid w:val="002C556C"/>
    <w:rsid w:val="002C6124"/>
    <w:rsid w:val="002D3A57"/>
    <w:rsid w:val="002D578D"/>
    <w:rsid w:val="002D6673"/>
    <w:rsid w:val="002D7981"/>
    <w:rsid w:val="002D7FC6"/>
    <w:rsid w:val="002E3C4F"/>
    <w:rsid w:val="002E6727"/>
    <w:rsid w:val="002F22F5"/>
    <w:rsid w:val="002F31E4"/>
    <w:rsid w:val="002F3280"/>
    <w:rsid w:val="002F547C"/>
    <w:rsid w:val="002F5A80"/>
    <w:rsid w:val="00300483"/>
    <w:rsid w:val="00302023"/>
    <w:rsid w:val="003032C3"/>
    <w:rsid w:val="00304F4D"/>
    <w:rsid w:val="00305EDF"/>
    <w:rsid w:val="00306109"/>
    <w:rsid w:val="003062DB"/>
    <w:rsid w:val="003112D5"/>
    <w:rsid w:val="00311316"/>
    <w:rsid w:val="00311F2B"/>
    <w:rsid w:val="00314F9A"/>
    <w:rsid w:val="00315473"/>
    <w:rsid w:val="00321D7C"/>
    <w:rsid w:val="00323DC4"/>
    <w:rsid w:val="003242AE"/>
    <w:rsid w:val="00330BB5"/>
    <w:rsid w:val="003369DD"/>
    <w:rsid w:val="00337431"/>
    <w:rsid w:val="00337672"/>
    <w:rsid w:val="003527CB"/>
    <w:rsid w:val="00355F30"/>
    <w:rsid w:val="00357CD2"/>
    <w:rsid w:val="003605CD"/>
    <w:rsid w:val="00364E09"/>
    <w:rsid w:val="003651D6"/>
    <w:rsid w:val="00367B42"/>
    <w:rsid w:val="00372730"/>
    <w:rsid w:val="003743E8"/>
    <w:rsid w:val="00375ECC"/>
    <w:rsid w:val="00380EA0"/>
    <w:rsid w:val="00381D98"/>
    <w:rsid w:val="00381FFA"/>
    <w:rsid w:val="00382B0C"/>
    <w:rsid w:val="00384ACF"/>
    <w:rsid w:val="003858FD"/>
    <w:rsid w:val="00386444"/>
    <w:rsid w:val="00391884"/>
    <w:rsid w:val="00393E7E"/>
    <w:rsid w:val="00394DF6"/>
    <w:rsid w:val="003A35E9"/>
    <w:rsid w:val="003A4D66"/>
    <w:rsid w:val="003A4F15"/>
    <w:rsid w:val="003A52D3"/>
    <w:rsid w:val="003A6687"/>
    <w:rsid w:val="003A6736"/>
    <w:rsid w:val="003B2BFB"/>
    <w:rsid w:val="003B6002"/>
    <w:rsid w:val="003C4773"/>
    <w:rsid w:val="003C4A68"/>
    <w:rsid w:val="003C774C"/>
    <w:rsid w:val="003D13EA"/>
    <w:rsid w:val="003D1FB9"/>
    <w:rsid w:val="003D2947"/>
    <w:rsid w:val="003D6B37"/>
    <w:rsid w:val="003E2A95"/>
    <w:rsid w:val="003E2D3F"/>
    <w:rsid w:val="003E3814"/>
    <w:rsid w:val="003E5924"/>
    <w:rsid w:val="003E7B41"/>
    <w:rsid w:val="003F2D9D"/>
    <w:rsid w:val="003F4D46"/>
    <w:rsid w:val="004054F5"/>
    <w:rsid w:val="004116EF"/>
    <w:rsid w:val="00411F04"/>
    <w:rsid w:val="00413094"/>
    <w:rsid w:val="0041332B"/>
    <w:rsid w:val="00413D58"/>
    <w:rsid w:val="00414C80"/>
    <w:rsid w:val="00420145"/>
    <w:rsid w:val="00420992"/>
    <w:rsid w:val="004210B1"/>
    <w:rsid w:val="004230F7"/>
    <w:rsid w:val="004233E9"/>
    <w:rsid w:val="00425265"/>
    <w:rsid w:val="004304DA"/>
    <w:rsid w:val="00431CB8"/>
    <w:rsid w:val="00432731"/>
    <w:rsid w:val="00433C9F"/>
    <w:rsid w:val="00433F09"/>
    <w:rsid w:val="0043405A"/>
    <w:rsid w:val="00435CE1"/>
    <w:rsid w:val="00440582"/>
    <w:rsid w:val="00441C83"/>
    <w:rsid w:val="004434AC"/>
    <w:rsid w:val="004449A1"/>
    <w:rsid w:val="00444ABD"/>
    <w:rsid w:val="00445582"/>
    <w:rsid w:val="0044643A"/>
    <w:rsid w:val="0044670A"/>
    <w:rsid w:val="004538BA"/>
    <w:rsid w:val="00461780"/>
    <w:rsid w:val="004635C8"/>
    <w:rsid w:val="004650FD"/>
    <w:rsid w:val="00465DC4"/>
    <w:rsid w:val="00466B6F"/>
    <w:rsid w:val="00467380"/>
    <w:rsid w:val="00467BB2"/>
    <w:rsid w:val="00474950"/>
    <w:rsid w:val="0047531A"/>
    <w:rsid w:val="0047604C"/>
    <w:rsid w:val="00481F1F"/>
    <w:rsid w:val="00483D98"/>
    <w:rsid w:val="00483E05"/>
    <w:rsid w:val="00485926"/>
    <w:rsid w:val="00487382"/>
    <w:rsid w:val="004915CE"/>
    <w:rsid w:val="0049301D"/>
    <w:rsid w:val="004949BC"/>
    <w:rsid w:val="004959C9"/>
    <w:rsid w:val="004A0962"/>
    <w:rsid w:val="004A3E75"/>
    <w:rsid w:val="004A4D04"/>
    <w:rsid w:val="004A4D29"/>
    <w:rsid w:val="004A5377"/>
    <w:rsid w:val="004A62EB"/>
    <w:rsid w:val="004A780E"/>
    <w:rsid w:val="004B046E"/>
    <w:rsid w:val="004B0B62"/>
    <w:rsid w:val="004B3A25"/>
    <w:rsid w:val="004B540B"/>
    <w:rsid w:val="004B667C"/>
    <w:rsid w:val="004B6738"/>
    <w:rsid w:val="004C07CA"/>
    <w:rsid w:val="004C2A7B"/>
    <w:rsid w:val="004C3F96"/>
    <w:rsid w:val="004C5D83"/>
    <w:rsid w:val="004C5F04"/>
    <w:rsid w:val="004E14FE"/>
    <w:rsid w:val="004E20E1"/>
    <w:rsid w:val="004E42DD"/>
    <w:rsid w:val="004E5311"/>
    <w:rsid w:val="004E5B8C"/>
    <w:rsid w:val="004E60A2"/>
    <w:rsid w:val="004E6A34"/>
    <w:rsid w:val="004F0798"/>
    <w:rsid w:val="004F0D83"/>
    <w:rsid w:val="004F3A3B"/>
    <w:rsid w:val="004F54D9"/>
    <w:rsid w:val="004F5652"/>
    <w:rsid w:val="004F76A9"/>
    <w:rsid w:val="005013E0"/>
    <w:rsid w:val="00503BDC"/>
    <w:rsid w:val="00510DB0"/>
    <w:rsid w:val="00511EDD"/>
    <w:rsid w:val="00513767"/>
    <w:rsid w:val="00513A0B"/>
    <w:rsid w:val="00516CF5"/>
    <w:rsid w:val="00517557"/>
    <w:rsid w:val="005212A0"/>
    <w:rsid w:val="00522EBD"/>
    <w:rsid w:val="00523621"/>
    <w:rsid w:val="00524953"/>
    <w:rsid w:val="005303AD"/>
    <w:rsid w:val="0053402A"/>
    <w:rsid w:val="005346A9"/>
    <w:rsid w:val="005349F7"/>
    <w:rsid w:val="00534FB9"/>
    <w:rsid w:val="0053609D"/>
    <w:rsid w:val="005372C1"/>
    <w:rsid w:val="00540A7F"/>
    <w:rsid w:val="00543380"/>
    <w:rsid w:val="005440C5"/>
    <w:rsid w:val="005453C6"/>
    <w:rsid w:val="00551A97"/>
    <w:rsid w:val="00555AF1"/>
    <w:rsid w:val="00556023"/>
    <w:rsid w:val="0055647F"/>
    <w:rsid w:val="00557124"/>
    <w:rsid w:val="005600BA"/>
    <w:rsid w:val="00560559"/>
    <w:rsid w:val="0056082D"/>
    <w:rsid w:val="005635B2"/>
    <w:rsid w:val="0056538A"/>
    <w:rsid w:val="00566739"/>
    <w:rsid w:val="0056744F"/>
    <w:rsid w:val="00570237"/>
    <w:rsid w:val="005707A8"/>
    <w:rsid w:val="0057305E"/>
    <w:rsid w:val="00573680"/>
    <w:rsid w:val="00573853"/>
    <w:rsid w:val="00573A40"/>
    <w:rsid w:val="0058047F"/>
    <w:rsid w:val="005943EE"/>
    <w:rsid w:val="00594879"/>
    <w:rsid w:val="00596904"/>
    <w:rsid w:val="00596FFD"/>
    <w:rsid w:val="00597CF0"/>
    <w:rsid w:val="005A021A"/>
    <w:rsid w:val="005A1EFF"/>
    <w:rsid w:val="005A201A"/>
    <w:rsid w:val="005A30B9"/>
    <w:rsid w:val="005A3D07"/>
    <w:rsid w:val="005B22D2"/>
    <w:rsid w:val="005B6505"/>
    <w:rsid w:val="005C0F85"/>
    <w:rsid w:val="005C2457"/>
    <w:rsid w:val="005C3851"/>
    <w:rsid w:val="005C3F39"/>
    <w:rsid w:val="005C4CD2"/>
    <w:rsid w:val="005C4D7D"/>
    <w:rsid w:val="005C4F75"/>
    <w:rsid w:val="005C5A43"/>
    <w:rsid w:val="005C649A"/>
    <w:rsid w:val="005D1164"/>
    <w:rsid w:val="005D6D8C"/>
    <w:rsid w:val="005E05C9"/>
    <w:rsid w:val="005E4A5F"/>
    <w:rsid w:val="005E6020"/>
    <w:rsid w:val="005F2F9F"/>
    <w:rsid w:val="005F704B"/>
    <w:rsid w:val="006027A5"/>
    <w:rsid w:val="00605024"/>
    <w:rsid w:val="0060727B"/>
    <w:rsid w:val="006117BF"/>
    <w:rsid w:val="00611D21"/>
    <w:rsid w:val="00612C5E"/>
    <w:rsid w:val="00615951"/>
    <w:rsid w:val="0061608C"/>
    <w:rsid w:val="0062161A"/>
    <w:rsid w:val="006234C8"/>
    <w:rsid w:val="006234CF"/>
    <w:rsid w:val="006237DD"/>
    <w:rsid w:val="00624CAD"/>
    <w:rsid w:val="00625110"/>
    <w:rsid w:val="006303DE"/>
    <w:rsid w:val="00630E22"/>
    <w:rsid w:val="0063507C"/>
    <w:rsid w:val="00636767"/>
    <w:rsid w:val="00650A25"/>
    <w:rsid w:val="006528D3"/>
    <w:rsid w:val="00655714"/>
    <w:rsid w:val="0066049A"/>
    <w:rsid w:val="00661F38"/>
    <w:rsid w:val="006634A3"/>
    <w:rsid w:val="00674BCD"/>
    <w:rsid w:val="0068600D"/>
    <w:rsid w:val="006870C2"/>
    <w:rsid w:val="00691978"/>
    <w:rsid w:val="006936B2"/>
    <w:rsid w:val="00693C10"/>
    <w:rsid w:val="006A281B"/>
    <w:rsid w:val="006A3F19"/>
    <w:rsid w:val="006B0C67"/>
    <w:rsid w:val="006B28AE"/>
    <w:rsid w:val="006B3456"/>
    <w:rsid w:val="006B470C"/>
    <w:rsid w:val="006C057D"/>
    <w:rsid w:val="006C0908"/>
    <w:rsid w:val="006C1FB0"/>
    <w:rsid w:val="006C4171"/>
    <w:rsid w:val="006C5338"/>
    <w:rsid w:val="006C5D96"/>
    <w:rsid w:val="006D390F"/>
    <w:rsid w:val="006D472F"/>
    <w:rsid w:val="006D47CC"/>
    <w:rsid w:val="006E09B8"/>
    <w:rsid w:val="006E2DE0"/>
    <w:rsid w:val="006E418D"/>
    <w:rsid w:val="006E4E7A"/>
    <w:rsid w:val="006E562A"/>
    <w:rsid w:val="006E6105"/>
    <w:rsid w:val="006F2132"/>
    <w:rsid w:val="006F2A1A"/>
    <w:rsid w:val="006F2E2F"/>
    <w:rsid w:val="006F57D6"/>
    <w:rsid w:val="006F790A"/>
    <w:rsid w:val="00703EDB"/>
    <w:rsid w:val="0070742B"/>
    <w:rsid w:val="00707A9E"/>
    <w:rsid w:val="00710666"/>
    <w:rsid w:val="00710BBF"/>
    <w:rsid w:val="00713225"/>
    <w:rsid w:val="00714CE4"/>
    <w:rsid w:val="0072032D"/>
    <w:rsid w:val="00722176"/>
    <w:rsid w:val="00723700"/>
    <w:rsid w:val="00727C21"/>
    <w:rsid w:val="00730F3E"/>
    <w:rsid w:val="007320D6"/>
    <w:rsid w:val="00732204"/>
    <w:rsid w:val="00732FFB"/>
    <w:rsid w:val="007363F4"/>
    <w:rsid w:val="007365A6"/>
    <w:rsid w:val="00736F87"/>
    <w:rsid w:val="00737EF6"/>
    <w:rsid w:val="00740848"/>
    <w:rsid w:val="00742865"/>
    <w:rsid w:val="00745F20"/>
    <w:rsid w:val="007502EC"/>
    <w:rsid w:val="00750F47"/>
    <w:rsid w:val="00750F99"/>
    <w:rsid w:val="00753F12"/>
    <w:rsid w:val="0075580A"/>
    <w:rsid w:val="0077120E"/>
    <w:rsid w:val="0077312B"/>
    <w:rsid w:val="00773A81"/>
    <w:rsid w:val="00773ABD"/>
    <w:rsid w:val="00774F27"/>
    <w:rsid w:val="00780042"/>
    <w:rsid w:val="00780F5B"/>
    <w:rsid w:val="00781CE0"/>
    <w:rsid w:val="007837C7"/>
    <w:rsid w:val="00785452"/>
    <w:rsid w:val="00786F1C"/>
    <w:rsid w:val="00792D0D"/>
    <w:rsid w:val="00794893"/>
    <w:rsid w:val="00797782"/>
    <w:rsid w:val="00797BF6"/>
    <w:rsid w:val="007A0B56"/>
    <w:rsid w:val="007A1C53"/>
    <w:rsid w:val="007A22DC"/>
    <w:rsid w:val="007A3B80"/>
    <w:rsid w:val="007A7EB4"/>
    <w:rsid w:val="007B0C88"/>
    <w:rsid w:val="007B1913"/>
    <w:rsid w:val="007B6911"/>
    <w:rsid w:val="007B7631"/>
    <w:rsid w:val="007B7B56"/>
    <w:rsid w:val="007B7DFD"/>
    <w:rsid w:val="007C0296"/>
    <w:rsid w:val="007C07BA"/>
    <w:rsid w:val="007D1470"/>
    <w:rsid w:val="007D4948"/>
    <w:rsid w:val="007E1F3E"/>
    <w:rsid w:val="007E41BE"/>
    <w:rsid w:val="007E5588"/>
    <w:rsid w:val="007F374C"/>
    <w:rsid w:val="007F3A02"/>
    <w:rsid w:val="007F7328"/>
    <w:rsid w:val="007F7E52"/>
    <w:rsid w:val="008050CD"/>
    <w:rsid w:val="00805103"/>
    <w:rsid w:val="0081213D"/>
    <w:rsid w:val="00812E24"/>
    <w:rsid w:val="00813D53"/>
    <w:rsid w:val="00815C46"/>
    <w:rsid w:val="008200DC"/>
    <w:rsid w:val="00821369"/>
    <w:rsid w:val="00826864"/>
    <w:rsid w:val="00826868"/>
    <w:rsid w:val="008268FD"/>
    <w:rsid w:val="00832F3A"/>
    <w:rsid w:val="008344A8"/>
    <w:rsid w:val="00840C0A"/>
    <w:rsid w:val="0084335A"/>
    <w:rsid w:val="008439B2"/>
    <w:rsid w:val="00846D2A"/>
    <w:rsid w:val="00846E1F"/>
    <w:rsid w:val="0085001C"/>
    <w:rsid w:val="00851A31"/>
    <w:rsid w:val="008569A0"/>
    <w:rsid w:val="0085781E"/>
    <w:rsid w:val="008643F3"/>
    <w:rsid w:val="00866207"/>
    <w:rsid w:val="00866BAB"/>
    <w:rsid w:val="00871322"/>
    <w:rsid w:val="008734D4"/>
    <w:rsid w:val="008758D2"/>
    <w:rsid w:val="008804D7"/>
    <w:rsid w:val="00885E57"/>
    <w:rsid w:val="008865E7"/>
    <w:rsid w:val="00892EC6"/>
    <w:rsid w:val="008A1054"/>
    <w:rsid w:val="008A2061"/>
    <w:rsid w:val="008A3952"/>
    <w:rsid w:val="008B1A19"/>
    <w:rsid w:val="008B2B4E"/>
    <w:rsid w:val="008B3219"/>
    <w:rsid w:val="008B4F91"/>
    <w:rsid w:val="008B5458"/>
    <w:rsid w:val="008B74F0"/>
    <w:rsid w:val="008B778E"/>
    <w:rsid w:val="008C0E74"/>
    <w:rsid w:val="008C1C16"/>
    <w:rsid w:val="008C31CC"/>
    <w:rsid w:val="008D4352"/>
    <w:rsid w:val="008D4BCA"/>
    <w:rsid w:val="008D74F3"/>
    <w:rsid w:val="008D79B5"/>
    <w:rsid w:val="008E3C2C"/>
    <w:rsid w:val="008E3DDC"/>
    <w:rsid w:val="008E4F77"/>
    <w:rsid w:val="008F10AE"/>
    <w:rsid w:val="008F1B4E"/>
    <w:rsid w:val="008F1BDC"/>
    <w:rsid w:val="008F1EC7"/>
    <w:rsid w:val="008F26D2"/>
    <w:rsid w:val="008F3F9C"/>
    <w:rsid w:val="008F7397"/>
    <w:rsid w:val="00900167"/>
    <w:rsid w:val="00900DC5"/>
    <w:rsid w:val="00907459"/>
    <w:rsid w:val="0091009F"/>
    <w:rsid w:val="0091245E"/>
    <w:rsid w:val="009233A1"/>
    <w:rsid w:val="00923E96"/>
    <w:rsid w:val="00924731"/>
    <w:rsid w:val="00926A11"/>
    <w:rsid w:val="00927802"/>
    <w:rsid w:val="0093080F"/>
    <w:rsid w:val="009338F7"/>
    <w:rsid w:val="00934017"/>
    <w:rsid w:val="00934209"/>
    <w:rsid w:val="009342BA"/>
    <w:rsid w:val="00936DE3"/>
    <w:rsid w:val="0094170F"/>
    <w:rsid w:val="00945996"/>
    <w:rsid w:val="009479AD"/>
    <w:rsid w:val="009519DC"/>
    <w:rsid w:val="00956652"/>
    <w:rsid w:val="00960661"/>
    <w:rsid w:val="00962087"/>
    <w:rsid w:val="009636F2"/>
    <w:rsid w:val="009716BB"/>
    <w:rsid w:val="00975B51"/>
    <w:rsid w:val="00977050"/>
    <w:rsid w:val="009857C8"/>
    <w:rsid w:val="0098F9A1"/>
    <w:rsid w:val="009910AD"/>
    <w:rsid w:val="00994D19"/>
    <w:rsid w:val="00996AE6"/>
    <w:rsid w:val="00996BAA"/>
    <w:rsid w:val="00996D6F"/>
    <w:rsid w:val="009A125A"/>
    <w:rsid w:val="009A1AE7"/>
    <w:rsid w:val="009A3F0A"/>
    <w:rsid w:val="009A5962"/>
    <w:rsid w:val="009A6E2C"/>
    <w:rsid w:val="009A77C9"/>
    <w:rsid w:val="009B5137"/>
    <w:rsid w:val="009B5C06"/>
    <w:rsid w:val="009C37F2"/>
    <w:rsid w:val="009C5FA9"/>
    <w:rsid w:val="009C720D"/>
    <w:rsid w:val="009C755C"/>
    <w:rsid w:val="009D0279"/>
    <w:rsid w:val="009D3854"/>
    <w:rsid w:val="009D58C8"/>
    <w:rsid w:val="009D6CDC"/>
    <w:rsid w:val="009E02F3"/>
    <w:rsid w:val="009E0C4C"/>
    <w:rsid w:val="009E12D0"/>
    <w:rsid w:val="009E2EB0"/>
    <w:rsid w:val="009E33F3"/>
    <w:rsid w:val="009E3E6A"/>
    <w:rsid w:val="009E4483"/>
    <w:rsid w:val="009E4D9B"/>
    <w:rsid w:val="009F0C48"/>
    <w:rsid w:val="009F1A14"/>
    <w:rsid w:val="009F26D2"/>
    <w:rsid w:val="009F6D21"/>
    <w:rsid w:val="00A019DA"/>
    <w:rsid w:val="00A071DB"/>
    <w:rsid w:val="00A1079E"/>
    <w:rsid w:val="00A1089A"/>
    <w:rsid w:val="00A10955"/>
    <w:rsid w:val="00A117D4"/>
    <w:rsid w:val="00A1381A"/>
    <w:rsid w:val="00A13A9D"/>
    <w:rsid w:val="00A20074"/>
    <w:rsid w:val="00A212B4"/>
    <w:rsid w:val="00A23022"/>
    <w:rsid w:val="00A2341E"/>
    <w:rsid w:val="00A24F84"/>
    <w:rsid w:val="00A250DF"/>
    <w:rsid w:val="00A25A56"/>
    <w:rsid w:val="00A262A7"/>
    <w:rsid w:val="00A2644D"/>
    <w:rsid w:val="00A27129"/>
    <w:rsid w:val="00A27BC1"/>
    <w:rsid w:val="00A27C0A"/>
    <w:rsid w:val="00A3299E"/>
    <w:rsid w:val="00A336F5"/>
    <w:rsid w:val="00A36F0E"/>
    <w:rsid w:val="00A4025C"/>
    <w:rsid w:val="00A40780"/>
    <w:rsid w:val="00A40AF8"/>
    <w:rsid w:val="00A44347"/>
    <w:rsid w:val="00A51275"/>
    <w:rsid w:val="00A51DEE"/>
    <w:rsid w:val="00A609B7"/>
    <w:rsid w:val="00A60A50"/>
    <w:rsid w:val="00A60ECA"/>
    <w:rsid w:val="00A61D6D"/>
    <w:rsid w:val="00A6223D"/>
    <w:rsid w:val="00A622BA"/>
    <w:rsid w:val="00A62C8B"/>
    <w:rsid w:val="00A63BDE"/>
    <w:rsid w:val="00A71EF3"/>
    <w:rsid w:val="00A72667"/>
    <w:rsid w:val="00A72836"/>
    <w:rsid w:val="00A76794"/>
    <w:rsid w:val="00A776BB"/>
    <w:rsid w:val="00A90066"/>
    <w:rsid w:val="00A93054"/>
    <w:rsid w:val="00AA133B"/>
    <w:rsid w:val="00AA5085"/>
    <w:rsid w:val="00AB0BE2"/>
    <w:rsid w:val="00AB194A"/>
    <w:rsid w:val="00AB2C27"/>
    <w:rsid w:val="00AB6824"/>
    <w:rsid w:val="00AC0D34"/>
    <w:rsid w:val="00AC5BA6"/>
    <w:rsid w:val="00AC78B3"/>
    <w:rsid w:val="00AC794E"/>
    <w:rsid w:val="00AD208D"/>
    <w:rsid w:val="00AD40F6"/>
    <w:rsid w:val="00AD4275"/>
    <w:rsid w:val="00AD46AE"/>
    <w:rsid w:val="00AD4E94"/>
    <w:rsid w:val="00AD5A1E"/>
    <w:rsid w:val="00AD6246"/>
    <w:rsid w:val="00AD765E"/>
    <w:rsid w:val="00AE07E8"/>
    <w:rsid w:val="00AE140C"/>
    <w:rsid w:val="00AE1994"/>
    <w:rsid w:val="00AE2052"/>
    <w:rsid w:val="00AE27B3"/>
    <w:rsid w:val="00AF143F"/>
    <w:rsid w:val="00AF208E"/>
    <w:rsid w:val="00AF37D8"/>
    <w:rsid w:val="00B00507"/>
    <w:rsid w:val="00B031DC"/>
    <w:rsid w:val="00B047F4"/>
    <w:rsid w:val="00B050FD"/>
    <w:rsid w:val="00B07698"/>
    <w:rsid w:val="00B208CF"/>
    <w:rsid w:val="00B230E2"/>
    <w:rsid w:val="00B31D5C"/>
    <w:rsid w:val="00B33C7E"/>
    <w:rsid w:val="00B345EA"/>
    <w:rsid w:val="00B50E28"/>
    <w:rsid w:val="00B54C86"/>
    <w:rsid w:val="00B57C1F"/>
    <w:rsid w:val="00B57D14"/>
    <w:rsid w:val="00B62715"/>
    <w:rsid w:val="00B6295C"/>
    <w:rsid w:val="00B653C2"/>
    <w:rsid w:val="00B65C33"/>
    <w:rsid w:val="00B704C7"/>
    <w:rsid w:val="00B71950"/>
    <w:rsid w:val="00B72F8B"/>
    <w:rsid w:val="00B76687"/>
    <w:rsid w:val="00B80A0C"/>
    <w:rsid w:val="00B82E41"/>
    <w:rsid w:val="00B846BF"/>
    <w:rsid w:val="00B84B87"/>
    <w:rsid w:val="00B84D5D"/>
    <w:rsid w:val="00B84EFE"/>
    <w:rsid w:val="00B85437"/>
    <w:rsid w:val="00B860D9"/>
    <w:rsid w:val="00B863C4"/>
    <w:rsid w:val="00B86D2A"/>
    <w:rsid w:val="00B904C4"/>
    <w:rsid w:val="00B905DC"/>
    <w:rsid w:val="00B91812"/>
    <w:rsid w:val="00B9346A"/>
    <w:rsid w:val="00BA0114"/>
    <w:rsid w:val="00BA61C7"/>
    <w:rsid w:val="00BA7D84"/>
    <w:rsid w:val="00BB5BB2"/>
    <w:rsid w:val="00BB7A38"/>
    <w:rsid w:val="00BB7EE2"/>
    <w:rsid w:val="00BC1638"/>
    <w:rsid w:val="00BC2D95"/>
    <w:rsid w:val="00BC31BD"/>
    <w:rsid w:val="00BC36BD"/>
    <w:rsid w:val="00BC5CBA"/>
    <w:rsid w:val="00BC7E7B"/>
    <w:rsid w:val="00BD27A7"/>
    <w:rsid w:val="00BD2F20"/>
    <w:rsid w:val="00BD50D8"/>
    <w:rsid w:val="00BD62D9"/>
    <w:rsid w:val="00BD66C4"/>
    <w:rsid w:val="00BD7BAD"/>
    <w:rsid w:val="00BE1734"/>
    <w:rsid w:val="00BE2244"/>
    <w:rsid w:val="00BE3CEB"/>
    <w:rsid w:val="00BE4863"/>
    <w:rsid w:val="00BE48E2"/>
    <w:rsid w:val="00BE63B0"/>
    <w:rsid w:val="00BF0ED3"/>
    <w:rsid w:val="00BF1474"/>
    <w:rsid w:val="00BF3330"/>
    <w:rsid w:val="00BF68CE"/>
    <w:rsid w:val="00BF7561"/>
    <w:rsid w:val="00C0098A"/>
    <w:rsid w:val="00C0133A"/>
    <w:rsid w:val="00C0351A"/>
    <w:rsid w:val="00C04D6E"/>
    <w:rsid w:val="00C05398"/>
    <w:rsid w:val="00C075A3"/>
    <w:rsid w:val="00C1027A"/>
    <w:rsid w:val="00C103BE"/>
    <w:rsid w:val="00C118C1"/>
    <w:rsid w:val="00C14024"/>
    <w:rsid w:val="00C1426E"/>
    <w:rsid w:val="00C202FF"/>
    <w:rsid w:val="00C212F4"/>
    <w:rsid w:val="00C22A51"/>
    <w:rsid w:val="00C268A8"/>
    <w:rsid w:val="00C301F0"/>
    <w:rsid w:val="00C33164"/>
    <w:rsid w:val="00C33E29"/>
    <w:rsid w:val="00C34C8A"/>
    <w:rsid w:val="00C35629"/>
    <w:rsid w:val="00C35C09"/>
    <w:rsid w:val="00C35C93"/>
    <w:rsid w:val="00C36893"/>
    <w:rsid w:val="00C40928"/>
    <w:rsid w:val="00C41008"/>
    <w:rsid w:val="00C44B5A"/>
    <w:rsid w:val="00C454BB"/>
    <w:rsid w:val="00C45690"/>
    <w:rsid w:val="00C47382"/>
    <w:rsid w:val="00C50B20"/>
    <w:rsid w:val="00C5252B"/>
    <w:rsid w:val="00C52C78"/>
    <w:rsid w:val="00C5395E"/>
    <w:rsid w:val="00C5408C"/>
    <w:rsid w:val="00C54610"/>
    <w:rsid w:val="00C546E3"/>
    <w:rsid w:val="00C56BD2"/>
    <w:rsid w:val="00C56C95"/>
    <w:rsid w:val="00C600D8"/>
    <w:rsid w:val="00C602E8"/>
    <w:rsid w:val="00C60F38"/>
    <w:rsid w:val="00C64C39"/>
    <w:rsid w:val="00C64E43"/>
    <w:rsid w:val="00C65ABF"/>
    <w:rsid w:val="00C668D6"/>
    <w:rsid w:val="00C726BF"/>
    <w:rsid w:val="00C73889"/>
    <w:rsid w:val="00C87DAF"/>
    <w:rsid w:val="00C9192C"/>
    <w:rsid w:val="00C91A0F"/>
    <w:rsid w:val="00C94651"/>
    <w:rsid w:val="00C9526B"/>
    <w:rsid w:val="00C95584"/>
    <w:rsid w:val="00CA0BED"/>
    <w:rsid w:val="00CB0592"/>
    <w:rsid w:val="00CB0A63"/>
    <w:rsid w:val="00CB1213"/>
    <w:rsid w:val="00CB1A35"/>
    <w:rsid w:val="00CB2429"/>
    <w:rsid w:val="00CB6D51"/>
    <w:rsid w:val="00CB7FB7"/>
    <w:rsid w:val="00CC03D5"/>
    <w:rsid w:val="00CC2B87"/>
    <w:rsid w:val="00CC45B0"/>
    <w:rsid w:val="00CD45E1"/>
    <w:rsid w:val="00CD496A"/>
    <w:rsid w:val="00CD616A"/>
    <w:rsid w:val="00CF030C"/>
    <w:rsid w:val="00CF04F3"/>
    <w:rsid w:val="00CF0A63"/>
    <w:rsid w:val="00CF21EE"/>
    <w:rsid w:val="00CF3BDB"/>
    <w:rsid w:val="00CF558B"/>
    <w:rsid w:val="00CF62AF"/>
    <w:rsid w:val="00CF72D2"/>
    <w:rsid w:val="00D002CB"/>
    <w:rsid w:val="00D009E9"/>
    <w:rsid w:val="00D0502C"/>
    <w:rsid w:val="00D06D3C"/>
    <w:rsid w:val="00D072D7"/>
    <w:rsid w:val="00D120C1"/>
    <w:rsid w:val="00D13A20"/>
    <w:rsid w:val="00D24188"/>
    <w:rsid w:val="00D32E4C"/>
    <w:rsid w:val="00D34217"/>
    <w:rsid w:val="00D36693"/>
    <w:rsid w:val="00D400F9"/>
    <w:rsid w:val="00D44CF0"/>
    <w:rsid w:val="00D4551C"/>
    <w:rsid w:val="00D52711"/>
    <w:rsid w:val="00D52DB0"/>
    <w:rsid w:val="00D56C98"/>
    <w:rsid w:val="00D570B3"/>
    <w:rsid w:val="00D603D0"/>
    <w:rsid w:val="00D60EEE"/>
    <w:rsid w:val="00D64511"/>
    <w:rsid w:val="00D67F91"/>
    <w:rsid w:val="00D73192"/>
    <w:rsid w:val="00D74EB8"/>
    <w:rsid w:val="00D9060C"/>
    <w:rsid w:val="00D92B93"/>
    <w:rsid w:val="00D9483A"/>
    <w:rsid w:val="00D97A91"/>
    <w:rsid w:val="00DA03EA"/>
    <w:rsid w:val="00DA1371"/>
    <w:rsid w:val="00DA2190"/>
    <w:rsid w:val="00DB0878"/>
    <w:rsid w:val="00DB4C11"/>
    <w:rsid w:val="00DC2047"/>
    <w:rsid w:val="00DC41B9"/>
    <w:rsid w:val="00DC430F"/>
    <w:rsid w:val="00DC51B8"/>
    <w:rsid w:val="00DC524D"/>
    <w:rsid w:val="00DC57B7"/>
    <w:rsid w:val="00DC6368"/>
    <w:rsid w:val="00DC733B"/>
    <w:rsid w:val="00DC7483"/>
    <w:rsid w:val="00DD51FE"/>
    <w:rsid w:val="00DD76D7"/>
    <w:rsid w:val="00DE124B"/>
    <w:rsid w:val="00DE4915"/>
    <w:rsid w:val="00DE7A47"/>
    <w:rsid w:val="00DF166B"/>
    <w:rsid w:val="00DF22F9"/>
    <w:rsid w:val="00DF29E8"/>
    <w:rsid w:val="00DF2B09"/>
    <w:rsid w:val="00DF41CE"/>
    <w:rsid w:val="00DF4DF0"/>
    <w:rsid w:val="00DF5EE4"/>
    <w:rsid w:val="00DF621D"/>
    <w:rsid w:val="00E02EDB"/>
    <w:rsid w:val="00E02FBE"/>
    <w:rsid w:val="00E03FF5"/>
    <w:rsid w:val="00E04E21"/>
    <w:rsid w:val="00E112BC"/>
    <w:rsid w:val="00E12622"/>
    <w:rsid w:val="00E15EE1"/>
    <w:rsid w:val="00E1659A"/>
    <w:rsid w:val="00E20530"/>
    <w:rsid w:val="00E20A4B"/>
    <w:rsid w:val="00E23049"/>
    <w:rsid w:val="00E270E0"/>
    <w:rsid w:val="00E27296"/>
    <w:rsid w:val="00E27596"/>
    <w:rsid w:val="00E27977"/>
    <w:rsid w:val="00E27B0C"/>
    <w:rsid w:val="00E30C76"/>
    <w:rsid w:val="00E31B58"/>
    <w:rsid w:val="00E32338"/>
    <w:rsid w:val="00E337FD"/>
    <w:rsid w:val="00E46FD9"/>
    <w:rsid w:val="00E47F6F"/>
    <w:rsid w:val="00E50443"/>
    <w:rsid w:val="00E516F8"/>
    <w:rsid w:val="00E524EC"/>
    <w:rsid w:val="00E52EC9"/>
    <w:rsid w:val="00E54278"/>
    <w:rsid w:val="00E559A7"/>
    <w:rsid w:val="00E55F72"/>
    <w:rsid w:val="00E5751C"/>
    <w:rsid w:val="00E626B4"/>
    <w:rsid w:val="00E62BE8"/>
    <w:rsid w:val="00E6394A"/>
    <w:rsid w:val="00E646F4"/>
    <w:rsid w:val="00E65851"/>
    <w:rsid w:val="00E72FCC"/>
    <w:rsid w:val="00E73AA3"/>
    <w:rsid w:val="00E76B39"/>
    <w:rsid w:val="00E76C33"/>
    <w:rsid w:val="00E77ED3"/>
    <w:rsid w:val="00E849F2"/>
    <w:rsid w:val="00E85BA8"/>
    <w:rsid w:val="00E9043F"/>
    <w:rsid w:val="00E93E86"/>
    <w:rsid w:val="00E9586F"/>
    <w:rsid w:val="00E96581"/>
    <w:rsid w:val="00EA07E3"/>
    <w:rsid w:val="00EA108F"/>
    <w:rsid w:val="00EA1D63"/>
    <w:rsid w:val="00EA3225"/>
    <w:rsid w:val="00EA3F64"/>
    <w:rsid w:val="00EA47F8"/>
    <w:rsid w:val="00EA7808"/>
    <w:rsid w:val="00EA78F4"/>
    <w:rsid w:val="00EB3900"/>
    <w:rsid w:val="00EB4F59"/>
    <w:rsid w:val="00EB63AB"/>
    <w:rsid w:val="00EB7162"/>
    <w:rsid w:val="00EC1423"/>
    <w:rsid w:val="00EC3157"/>
    <w:rsid w:val="00EC4D0F"/>
    <w:rsid w:val="00ED03A4"/>
    <w:rsid w:val="00ED240D"/>
    <w:rsid w:val="00ED2BA0"/>
    <w:rsid w:val="00ED2D35"/>
    <w:rsid w:val="00ED33DA"/>
    <w:rsid w:val="00ED6B3E"/>
    <w:rsid w:val="00EE0A73"/>
    <w:rsid w:val="00EE182F"/>
    <w:rsid w:val="00EE2CF5"/>
    <w:rsid w:val="00EE3426"/>
    <w:rsid w:val="00EE3E6F"/>
    <w:rsid w:val="00EE3EDC"/>
    <w:rsid w:val="00EE6111"/>
    <w:rsid w:val="00EE7D3B"/>
    <w:rsid w:val="00EF220C"/>
    <w:rsid w:val="00EF4552"/>
    <w:rsid w:val="00EF51C1"/>
    <w:rsid w:val="00EF5234"/>
    <w:rsid w:val="00EF5355"/>
    <w:rsid w:val="00EF54EE"/>
    <w:rsid w:val="00EF634B"/>
    <w:rsid w:val="00EF73C4"/>
    <w:rsid w:val="00F00767"/>
    <w:rsid w:val="00F03E23"/>
    <w:rsid w:val="00F05D1A"/>
    <w:rsid w:val="00F06DD4"/>
    <w:rsid w:val="00F06E35"/>
    <w:rsid w:val="00F104A1"/>
    <w:rsid w:val="00F10784"/>
    <w:rsid w:val="00F112F3"/>
    <w:rsid w:val="00F11951"/>
    <w:rsid w:val="00F20481"/>
    <w:rsid w:val="00F20760"/>
    <w:rsid w:val="00F20A35"/>
    <w:rsid w:val="00F242D9"/>
    <w:rsid w:val="00F34D27"/>
    <w:rsid w:val="00F371BF"/>
    <w:rsid w:val="00F432E0"/>
    <w:rsid w:val="00F46934"/>
    <w:rsid w:val="00F46FE2"/>
    <w:rsid w:val="00F50A7D"/>
    <w:rsid w:val="00F51B53"/>
    <w:rsid w:val="00F51D93"/>
    <w:rsid w:val="00F52029"/>
    <w:rsid w:val="00F546C0"/>
    <w:rsid w:val="00F54710"/>
    <w:rsid w:val="00F601B3"/>
    <w:rsid w:val="00F63177"/>
    <w:rsid w:val="00F63F2A"/>
    <w:rsid w:val="00F6534A"/>
    <w:rsid w:val="00F6721B"/>
    <w:rsid w:val="00F73DF7"/>
    <w:rsid w:val="00F74EBC"/>
    <w:rsid w:val="00F770CD"/>
    <w:rsid w:val="00F8134E"/>
    <w:rsid w:val="00F825D0"/>
    <w:rsid w:val="00F82D9D"/>
    <w:rsid w:val="00F868F5"/>
    <w:rsid w:val="00F86B74"/>
    <w:rsid w:val="00F92293"/>
    <w:rsid w:val="00F92734"/>
    <w:rsid w:val="00F95879"/>
    <w:rsid w:val="00FA0320"/>
    <w:rsid w:val="00FA49FA"/>
    <w:rsid w:val="00FA5167"/>
    <w:rsid w:val="00FA58D5"/>
    <w:rsid w:val="00FA5E7B"/>
    <w:rsid w:val="00FA6FEC"/>
    <w:rsid w:val="00FB15C6"/>
    <w:rsid w:val="00FB3B54"/>
    <w:rsid w:val="00FB4C71"/>
    <w:rsid w:val="00FB6429"/>
    <w:rsid w:val="00FC17BE"/>
    <w:rsid w:val="00FC1A60"/>
    <w:rsid w:val="00FC1D8C"/>
    <w:rsid w:val="00FC489B"/>
    <w:rsid w:val="00FC5C42"/>
    <w:rsid w:val="00FD4342"/>
    <w:rsid w:val="00FDA9BA"/>
    <w:rsid w:val="00FE0728"/>
    <w:rsid w:val="00FE1964"/>
    <w:rsid w:val="00FE33C6"/>
    <w:rsid w:val="00FE3473"/>
    <w:rsid w:val="00FF3D18"/>
    <w:rsid w:val="00FF4FDE"/>
    <w:rsid w:val="00FF5368"/>
    <w:rsid w:val="00FF7E5F"/>
    <w:rsid w:val="010D771F"/>
    <w:rsid w:val="01266E76"/>
    <w:rsid w:val="012793EF"/>
    <w:rsid w:val="0136D339"/>
    <w:rsid w:val="01A50AE9"/>
    <w:rsid w:val="02955D4E"/>
    <w:rsid w:val="03212F76"/>
    <w:rsid w:val="05781A20"/>
    <w:rsid w:val="05B07EF9"/>
    <w:rsid w:val="05EB2B47"/>
    <w:rsid w:val="062158DC"/>
    <w:rsid w:val="06963AAF"/>
    <w:rsid w:val="07E48274"/>
    <w:rsid w:val="08DEE691"/>
    <w:rsid w:val="08E27375"/>
    <w:rsid w:val="0917CDB9"/>
    <w:rsid w:val="0C0976F6"/>
    <w:rsid w:val="0C547A01"/>
    <w:rsid w:val="0CB084BF"/>
    <w:rsid w:val="0CCA3F0D"/>
    <w:rsid w:val="0D2707E0"/>
    <w:rsid w:val="0E37AF82"/>
    <w:rsid w:val="0E9CEBC4"/>
    <w:rsid w:val="0FB223C7"/>
    <w:rsid w:val="11396295"/>
    <w:rsid w:val="11396652"/>
    <w:rsid w:val="113CAC47"/>
    <w:rsid w:val="11A1C43D"/>
    <w:rsid w:val="11D9C885"/>
    <w:rsid w:val="12739B04"/>
    <w:rsid w:val="12C2F0D3"/>
    <w:rsid w:val="1373D6F4"/>
    <w:rsid w:val="138097D7"/>
    <w:rsid w:val="1388CC05"/>
    <w:rsid w:val="164EA0F5"/>
    <w:rsid w:val="17533D7A"/>
    <w:rsid w:val="177DDF62"/>
    <w:rsid w:val="17A865F9"/>
    <w:rsid w:val="1829BA4F"/>
    <w:rsid w:val="18435AB7"/>
    <w:rsid w:val="18920EC1"/>
    <w:rsid w:val="18E0E6BB"/>
    <w:rsid w:val="194B2B07"/>
    <w:rsid w:val="197C7D0B"/>
    <w:rsid w:val="1985C4DA"/>
    <w:rsid w:val="1A7F8631"/>
    <w:rsid w:val="1AC09A87"/>
    <w:rsid w:val="1ADDBCA0"/>
    <w:rsid w:val="1ADE9CA6"/>
    <w:rsid w:val="1AE6C0DE"/>
    <w:rsid w:val="1B0D8B96"/>
    <w:rsid w:val="1CD6913B"/>
    <w:rsid w:val="1D74F07B"/>
    <w:rsid w:val="1D8F1502"/>
    <w:rsid w:val="1F6818D0"/>
    <w:rsid w:val="1F8D7268"/>
    <w:rsid w:val="203E9DCC"/>
    <w:rsid w:val="21933998"/>
    <w:rsid w:val="2230BC16"/>
    <w:rsid w:val="225572B3"/>
    <w:rsid w:val="2334F5F3"/>
    <w:rsid w:val="236FC37A"/>
    <w:rsid w:val="239D0426"/>
    <w:rsid w:val="2457E62C"/>
    <w:rsid w:val="2464ABCC"/>
    <w:rsid w:val="2472929E"/>
    <w:rsid w:val="24B8377C"/>
    <w:rsid w:val="24C7D5B8"/>
    <w:rsid w:val="24CB2E68"/>
    <w:rsid w:val="24E481BC"/>
    <w:rsid w:val="2566251A"/>
    <w:rsid w:val="25E5B1A1"/>
    <w:rsid w:val="265446B0"/>
    <w:rsid w:val="27DD06D8"/>
    <w:rsid w:val="29134A0E"/>
    <w:rsid w:val="29F73C66"/>
    <w:rsid w:val="2C84C353"/>
    <w:rsid w:val="2CC85B6A"/>
    <w:rsid w:val="2D129BDA"/>
    <w:rsid w:val="2D5B8A01"/>
    <w:rsid w:val="2D5C42CA"/>
    <w:rsid w:val="2DA26BDD"/>
    <w:rsid w:val="2EE82642"/>
    <w:rsid w:val="2F23C8A3"/>
    <w:rsid w:val="2F66DD96"/>
    <w:rsid w:val="300FCD43"/>
    <w:rsid w:val="30B2F60F"/>
    <w:rsid w:val="310D3841"/>
    <w:rsid w:val="3197DD8F"/>
    <w:rsid w:val="31F7AE6D"/>
    <w:rsid w:val="322FCD11"/>
    <w:rsid w:val="3258C0D6"/>
    <w:rsid w:val="341B3382"/>
    <w:rsid w:val="3598CDCA"/>
    <w:rsid w:val="35A871D5"/>
    <w:rsid w:val="35E64CAA"/>
    <w:rsid w:val="3616AABB"/>
    <w:rsid w:val="364898D5"/>
    <w:rsid w:val="368A9A0E"/>
    <w:rsid w:val="36A8B63D"/>
    <w:rsid w:val="381E8260"/>
    <w:rsid w:val="38237BDD"/>
    <w:rsid w:val="3924E478"/>
    <w:rsid w:val="3A5E8D69"/>
    <w:rsid w:val="3B74AECB"/>
    <w:rsid w:val="3BFFDB08"/>
    <w:rsid w:val="3C7C89AB"/>
    <w:rsid w:val="3C847EA5"/>
    <w:rsid w:val="3D265239"/>
    <w:rsid w:val="3DBEA615"/>
    <w:rsid w:val="3E33FF15"/>
    <w:rsid w:val="3F6A8375"/>
    <w:rsid w:val="3FABBC7E"/>
    <w:rsid w:val="3FE8AF29"/>
    <w:rsid w:val="4017008C"/>
    <w:rsid w:val="40C4B72A"/>
    <w:rsid w:val="417450DA"/>
    <w:rsid w:val="41B2E2F7"/>
    <w:rsid w:val="421DF78B"/>
    <w:rsid w:val="426EE486"/>
    <w:rsid w:val="428B222A"/>
    <w:rsid w:val="42B52859"/>
    <w:rsid w:val="42F80D01"/>
    <w:rsid w:val="4327B999"/>
    <w:rsid w:val="434124B1"/>
    <w:rsid w:val="44AD4C4A"/>
    <w:rsid w:val="44B005AC"/>
    <w:rsid w:val="44D510FA"/>
    <w:rsid w:val="44E7190D"/>
    <w:rsid w:val="455809C8"/>
    <w:rsid w:val="455F250C"/>
    <w:rsid w:val="457F4BAF"/>
    <w:rsid w:val="45A63362"/>
    <w:rsid w:val="45B85284"/>
    <w:rsid w:val="45B93284"/>
    <w:rsid w:val="463F6E16"/>
    <w:rsid w:val="4674D064"/>
    <w:rsid w:val="46BEE091"/>
    <w:rsid w:val="472BF246"/>
    <w:rsid w:val="47E639FE"/>
    <w:rsid w:val="486BE7A8"/>
    <w:rsid w:val="487C4700"/>
    <w:rsid w:val="487F99DC"/>
    <w:rsid w:val="4923C7F6"/>
    <w:rsid w:val="494145FD"/>
    <w:rsid w:val="49CFF478"/>
    <w:rsid w:val="4A60D686"/>
    <w:rsid w:val="4AC1AF02"/>
    <w:rsid w:val="4C34B6C8"/>
    <w:rsid w:val="4D5FDCC6"/>
    <w:rsid w:val="4D93BA8C"/>
    <w:rsid w:val="4DC7FDDF"/>
    <w:rsid w:val="4E7405E1"/>
    <w:rsid w:val="4F13D8C4"/>
    <w:rsid w:val="4FEDFD48"/>
    <w:rsid w:val="503DECEB"/>
    <w:rsid w:val="5041BA63"/>
    <w:rsid w:val="5045D4E5"/>
    <w:rsid w:val="506CE960"/>
    <w:rsid w:val="50A4E4E4"/>
    <w:rsid w:val="50BE1BC1"/>
    <w:rsid w:val="50EA365A"/>
    <w:rsid w:val="5124997A"/>
    <w:rsid w:val="517BF0F9"/>
    <w:rsid w:val="524C192A"/>
    <w:rsid w:val="527DAA66"/>
    <w:rsid w:val="5293B84A"/>
    <w:rsid w:val="53C0017A"/>
    <w:rsid w:val="542E6015"/>
    <w:rsid w:val="5465B2C1"/>
    <w:rsid w:val="54B2307B"/>
    <w:rsid w:val="54F1BABE"/>
    <w:rsid w:val="557ECFE1"/>
    <w:rsid w:val="57718FF8"/>
    <w:rsid w:val="58C923F7"/>
    <w:rsid w:val="5A101255"/>
    <w:rsid w:val="5AF6A3C8"/>
    <w:rsid w:val="5AFF0F86"/>
    <w:rsid w:val="5BF30537"/>
    <w:rsid w:val="5C0A3291"/>
    <w:rsid w:val="5CA67DCA"/>
    <w:rsid w:val="5CCC1D43"/>
    <w:rsid w:val="5D03BBCB"/>
    <w:rsid w:val="5D882E5F"/>
    <w:rsid w:val="5DCC960E"/>
    <w:rsid w:val="5E21CB12"/>
    <w:rsid w:val="5F471AF2"/>
    <w:rsid w:val="5FF1B887"/>
    <w:rsid w:val="60794E27"/>
    <w:rsid w:val="61FC88CE"/>
    <w:rsid w:val="627ABCB3"/>
    <w:rsid w:val="6439B8D5"/>
    <w:rsid w:val="65226CE7"/>
    <w:rsid w:val="658732DA"/>
    <w:rsid w:val="65E7DC4B"/>
    <w:rsid w:val="6606EAFA"/>
    <w:rsid w:val="66A7069D"/>
    <w:rsid w:val="6720DBD3"/>
    <w:rsid w:val="676D09EF"/>
    <w:rsid w:val="67C30D90"/>
    <w:rsid w:val="6801FE8A"/>
    <w:rsid w:val="69977C5F"/>
    <w:rsid w:val="6A1E3D28"/>
    <w:rsid w:val="6A488AB6"/>
    <w:rsid w:val="6AD0A8A6"/>
    <w:rsid w:val="6B230498"/>
    <w:rsid w:val="6B42B0B1"/>
    <w:rsid w:val="6C158EC6"/>
    <w:rsid w:val="6C7C7EA1"/>
    <w:rsid w:val="6D14D363"/>
    <w:rsid w:val="6D6AE9C0"/>
    <w:rsid w:val="6F101419"/>
    <w:rsid w:val="7000A21C"/>
    <w:rsid w:val="70B7913F"/>
    <w:rsid w:val="70C05BDC"/>
    <w:rsid w:val="70FA785A"/>
    <w:rsid w:val="7121F16D"/>
    <w:rsid w:val="71C02838"/>
    <w:rsid w:val="71FBA4ED"/>
    <w:rsid w:val="72130FE1"/>
    <w:rsid w:val="727E6FD7"/>
    <w:rsid w:val="73D8E51B"/>
    <w:rsid w:val="740F3FEB"/>
    <w:rsid w:val="74DCBA74"/>
    <w:rsid w:val="7501ABD7"/>
    <w:rsid w:val="7533FF9A"/>
    <w:rsid w:val="765EAE8F"/>
    <w:rsid w:val="767E3E01"/>
    <w:rsid w:val="779EA895"/>
    <w:rsid w:val="781E8B39"/>
    <w:rsid w:val="78262D70"/>
    <w:rsid w:val="78739202"/>
    <w:rsid w:val="78A8894E"/>
    <w:rsid w:val="78D4D306"/>
    <w:rsid w:val="793FFB96"/>
    <w:rsid w:val="7A201AE3"/>
    <w:rsid w:val="7A4EC839"/>
    <w:rsid w:val="7AA651C7"/>
    <w:rsid w:val="7ACB765E"/>
    <w:rsid w:val="7B03DED9"/>
    <w:rsid w:val="7B190A98"/>
    <w:rsid w:val="7B6C42D0"/>
    <w:rsid w:val="7B9FA62B"/>
    <w:rsid w:val="7BD3742E"/>
    <w:rsid w:val="7BDB73DF"/>
    <w:rsid w:val="7CA735D9"/>
    <w:rsid w:val="7D17CE80"/>
    <w:rsid w:val="7D4AB7EB"/>
    <w:rsid w:val="7D4E3A95"/>
    <w:rsid w:val="7EEFC5A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B714"/>
  <w15:chartTrackingRefBased/>
  <w15:docId w15:val="{3767326D-EDF3-4F6D-A1F7-345D42D8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1A"/>
  </w:style>
  <w:style w:type="paragraph" w:styleId="Ttulo1">
    <w:name w:val="heading 1"/>
    <w:basedOn w:val="Normal"/>
    <w:next w:val="Normal"/>
    <w:uiPriority w:val="9"/>
    <w:qFormat/>
    <w:rsid w:val="00113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113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113A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113A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113A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113A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113A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113A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113A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semiHidden/>
    <w:unhideWhenUsed/>
    <w:rsid w:val="00F05D1A"/>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semiHidden/>
    <w:rsid w:val="00F05D1A"/>
  </w:style>
  <w:style w:type="paragraph" w:styleId="Piedepgina">
    <w:name w:val="footer"/>
    <w:basedOn w:val="Normal"/>
    <w:link w:val="PiedepginaCar1"/>
    <w:uiPriority w:val="99"/>
    <w:semiHidden/>
    <w:unhideWhenUsed/>
    <w:rsid w:val="00F05D1A"/>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F05D1A"/>
  </w:style>
  <w:style w:type="paragraph" w:styleId="Ttulo">
    <w:name w:val="Title"/>
    <w:basedOn w:val="Normal"/>
    <w:next w:val="Normal"/>
    <w:link w:val="TtuloCar"/>
    <w:uiPriority w:val="10"/>
    <w:qFormat/>
    <w:rsid w:val="00011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66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16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66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16F7"/>
    <w:pPr>
      <w:spacing w:before="160"/>
      <w:jc w:val="center"/>
    </w:pPr>
    <w:rPr>
      <w:i/>
      <w:iCs/>
      <w:color w:val="404040" w:themeColor="text1" w:themeTint="BF"/>
    </w:rPr>
  </w:style>
  <w:style w:type="character" w:customStyle="1" w:styleId="CitaCar">
    <w:name w:val="Cita Car"/>
    <w:basedOn w:val="Fuentedeprrafopredeter"/>
    <w:link w:val="Cita"/>
    <w:uiPriority w:val="29"/>
    <w:rsid w:val="003A6687"/>
    <w:rPr>
      <w:i/>
      <w:iCs/>
      <w:color w:val="404040" w:themeColor="text1" w:themeTint="BF"/>
    </w:rPr>
  </w:style>
  <w:style w:type="paragraph" w:styleId="Citadestacada">
    <w:name w:val="Intense Quote"/>
    <w:basedOn w:val="Normal"/>
    <w:next w:val="Normal"/>
    <w:link w:val="CitadestacadaCar"/>
    <w:uiPriority w:val="30"/>
    <w:qFormat/>
    <w:rsid w:val="00011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6687"/>
    <w:rPr>
      <w:i/>
      <w:iCs/>
      <w:color w:val="0F4761" w:themeColor="accent1" w:themeShade="BF"/>
    </w:rPr>
  </w:style>
  <w:style w:type="paragraph" w:styleId="Textocomentario">
    <w:name w:val="annotation text"/>
    <w:basedOn w:val="Normal"/>
    <w:link w:val="TextocomentarioCar"/>
    <w:uiPriority w:val="99"/>
    <w:unhideWhenUsed/>
    <w:rsid w:val="000116F7"/>
    <w:pPr>
      <w:spacing w:line="240" w:lineRule="auto"/>
    </w:pPr>
    <w:rPr>
      <w:sz w:val="20"/>
      <w:szCs w:val="20"/>
    </w:rPr>
  </w:style>
  <w:style w:type="character" w:customStyle="1" w:styleId="TextocomentarioCar">
    <w:name w:val="Texto comentario Car"/>
    <w:basedOn w:val="Fuentedeprrafopredeter"/>
    <w:link w:val="Textocomentario"/>
    <w:uiPriority w:val="99"/>
    <w:rsid w:val="003A6687"/>
    <w:rPr>
      <w:sz w:val="20"/>
      <w:szCs w:val="20"/>
    </w:rPr>
  </w:style>
  <w:style w:type="paragraph" w:styleId="Asuntodelcomentario">
    <w:name w:val="annotation subject"/>
    <w:basedOn w:val="Textocomentario"/>
    <w:next w:val="Textocomentario"/>
    <w:link w:val="AsuntodelcomentarioCar"/>
    <w:uiPriority w:val="99"/>
    <w:semiHidden/>
    <w:unhideWhenUsed/>
    <w:rsid w:val="000116F7"/>
    <w:rPr>
      <w:b/>
      <w:bCs/>
    </w:rPr>
  </w:style>
  <w:style w:type="character" w:customStyle="1" w:styleId="AsuntodelcomentarioCar">
    <w:name w:val="Asunto del comentario Car"/>
    <w:basedOn w:val="TextocomentarioCar"/>
    <w:link w:val="Asuntodelcomentario"/>
    <w:uiPriority w:val="99"/>
    <w:semiHidden/>
    <w:rsid w:val="003A6687"/>
    <w:rPr>
      <w:b/>
      <w:bCs/>
      <w:sz w:val="20"/>
      <w:szCs w:val="20"/>
    </w:rPr>
  </w:style>
  <w:style w:type="paragraph" w:styleId="Prrafodelista">
    <w:name w:val="List Paragraph"/>
    <w:basedOn w:val="Normal"/>
    <w:uiPriority w:val="34"/>
    <w:qFormat/>
    <w:rsid w:val="00113AD7"/>
    <w:pPr>
      <w:ind w:left="720"/>
      <w:contextualSpacing/>
    </w:pPr>
  </w:style>
  <w:style w:type="character" w:styleId="nfasisintenso">
    <w:name w:val="Intense Emphasis"/>
    <w:basedOn w:val="Fuentedeprrafopredeter"/>
    <w:uiPriority w:val="21"/>
    <w:qFormat/>
    <w:rsid w:val="00113AD7"/>
    <w:rPr>
      <w:i/>
      <w:iCs/>
      <w:color w:val="0F4761" w:themeColor="accent1" w:themeShade="BF"/>
    </w:rPr>
  </w:style>
  <w:style w:type="character" w:styleId="Referenciaintensa">
    <w:name w:val="Intense Reference"/>
    <w:basedOn w:val="Fuentedeprrafopredeter"/>
    <w:uiPriority w:val="32"/>
    <w:qFormat/>
    <w:rsid w:val="00113AD7"/>
    <w:rPr>
      <w:b/>
      <w:bCs/>
      <w:smallCaps/>
      <w:color w:val="0F4761" w:themeColor="accent1" w:themeShade="BF"/>
      <w:spacing w:val="5"/>
    </w:rPr>
  </w:style>
  <w:style w:type="character" w:customStyle="1" w:styleId="contentpasted0">
    <w:name w:val="contentpasted0"/>
    <w:basedOn w:val="Fuentedeprrafopredeter"/>
    <w:rsid w:val="00113AD7"/>
  </w:style>
  <w:style w:type="character" w:styleId="Hipervnculo">
    <w:name w:val="Hyperlink"/>
    <w:basedOn w:val="Fuentedeprrafopredeter"/>
    <w:uiPriority w:val="99"/>
    <w:unhideWhenUsed/>
    <w:rsid w:val="00D400F9"/>
    <w:rPr>
      <w:color w:val="0000FF"/>
      <w:u w:val="single"/>
    </w:rPr>
  </w:style>
  <w:style w:type="table" w:styleId="Tablaconcuadrcula">
    <w:name w:val="Table Grid"/>
    <w:basedOn w:val="Tablanormal"/>
    <w:uiPriority w:val="39"/>
    <w:rsid w:val="00D40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0A63"/>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732FFB"/>
    <w:rPr>
      <w:sz w:val="16"/>
      <w:szCs w:val="16"/>
    </w:rPr>
  </w:style>
  <w:style w:type="character" w:customStyle="1" w:styleId="Ttulo1Car">
    <w:name w:val="Título 1 Car"/>
    <w:basedOn w:val="Fuentedeprrafopredeter"/>
    <w:uiPriority w:val="9"/>
    <w:rsid w:val="003A66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3A66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3A6687"/>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3A6687"/>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3A6687"/>
    <w:rPr>
      <w:rFonts w:eastAsiaTheme="majorEastAsia" w:cstheme="majorBidi"/>
      <w:color w:val="0F4761" w:themeColor="accent1" w:themeShade="BF"/>
    </w:rPr>
  </w:style>
  <w:style w:type="character" w:customStyle="1" w:styleId="Ttulo6Car">
    <w:name w:val="Título 6 Car"/>
    <w:basedOn w:val="Fuentedeprrafopredeter"/>
    <w:uiPriority w:val="9"/>
    <w:semiHidden/>
    <w:rsid w:val="003A6687"/>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3A6687"/>
    <w:rPr>
      <w:rFonts w:eastAsiaTheme="majorEastAsia" w:cstheme="majorBidi"/>
      <w:color w:val="595959" w:themeColor="text1" w:themeTint="A6"/>
    </w:rPr>
  </w:style>
  <w:style w:type="character" w:customStyle="1" w:styleId="Ttulo8Car">
    <w:name w:val="Título 8 Car"/>
    <w:basedOn w:val="Fuentedeprrafopredeter"/>
    <w:uiPriority w:val="9"/>
    <w:semiHidden/>
    <w:rsid w:val="003A6687"/>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3A6687"/>
    <w:rPr>
      <w:rFonts w:eastAsiaTheme="majorEastAsia" w:cstheme="majorBidi"/>
      <w:color w:val="272727" w:themeColor="text1" w:themeTint="D8"/>
    </w:rPr>
  </w:style>
  <w:style w:type="character" w:customStyle="1" w:styleId="EncabezadoCar">
    <w:name w:val="Encabezado Car"/>
    <w:basedOn w:val="Fuentedeprrafopredeter"/>
    <w:uiPriority w:val="99"/>
    <w:rsid w:val="003A6687"/>
  </w:style>
  <w:style w:type="character" w:customStyle="1" w:styleId="PiedepginaCar">
    <w:name w:val="Pie de página Car"/>
    <w:basedOn w:val="Fuentedeprrafopredeter"/>
    <w:uiPriority w:val="99"/>
    <w:rsid w:val="003A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963</Words>
  <Characters>5297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2026-09-01T10:13:00Z</dcterms:created>
  <dcterms:modified xsi:type="dcterms:W3CDTF">2026-09-01T10:13:00Z</dcterms:modified>
</cp:coreProperties>
</file>