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20F1" w14:textId="5FF4CBC0" w:rsidR="00173927" w:rsidRPr="001C1B23" w:rsidRDefault="003566C0" w:rsidP="00173927">
      <w:pPr>
        <w:jc w:val="center"/>
        <w:rPr>
          <w:rFonts w:ascii="Muli" w:hAnsi="Muli" w:cstheme="minorHAnsi"/>
          <w:b/>
          <w:bCs/>
          <w:sz w:val="20"/>
          <w:szCs w:val="20"/>
        </w:rPr>
      </w:pPr>
      <w:r>
        <w:rPr>
          <w:rFonts w:ascii="Muli" w:hAnsi="Muli" w:cstheme="minorHAnsi"/>
          <w:b/>
          <w:bCs/>
          <w:sz w:val="20"/>
          <w:szCs w:val="20"/>
        </w:rPr>
        <w:t xml:space="preserve">El índice de referencia cae </w:t>
      </w:r>
      <w:r w:rsidR="00CD2738">
        <w:rPr>
          <w:rFonts w:ascii="Muli" w:hAnsi="Muli" w:cstheme="minorHAnsi"/>
          <w:b/>
          <w:bCs/>
          <w:sz w:val="20"/>
          <w:szCs w:val="20"/>
        </w:rPr>
        <w:t xml:space="preserve">algo más de </w:t>
      </w:r>
      <w:r>
        <w:rPr>
          <w:rFonts w:ascii="Muli" w:hAnsi="Muli" w:cstheme="minorHAnsi"/>
          <w:b/>
          <w:bCs/>
          <w:sz w:val="20"/>
          <w:szCs w:val="20"/>
        </w:rPr>
        <w:t>una décima</w:t>
      </w:r>
    </w:p>
    <w:p w14:paraId="29288CFA" w14:textId="652CF052" w:rsidR="00173927" w:rsidRPr="009016B3" w:rsidRDefault="00173927" w:rsidP="00173927">
      <w:pPr>
        <w:jc w:val="center"/>
        <w:rPr>
          <w:rFonts w:ascii="Montserrat" w:hAnsi="Montserrat"/>
          <w:b/>
          <w:color w:val="243962"/>
          <w:sz w:val="30"/>
          <w:szCs w:val="30"/>
        </w:rPr>
      </w:pPr>
      <w:r>
        <w:rPr>
          <w:rFonts w:ascii="Montserrat" w:hAnsi="Montserrat"/>
          <w:b/>
          <w:color w:val="243962"/>
          <w:sz w:val="30"/>
          <w:szCs w:val="30"/>
        </w:rPr>
        <w:t>El euríbor retoma su camino a la baja en febrero de 2025: cierra el mes en el 2,</w:t>
      </w:r>
      <w:r w:rsidR="009E5712">
        <w:rPr>
          <w:rFonts w:ascii="Montserrat" w:hAnsi="Montserrat"/>
          <w:b/>
          <w:color w:val="243962"/>
          <w:sz w:val="30"/>
          <w:szCs w:val="30"/>
        </w:rPr>
        <w:t>4</w:t>
      </w:r>
      <w:r w:rsidR="00007B8A">
        <w:rPr>
          <w:rFonts w:ascii="Montserrat" w:hAnsi="Montserrat"/>
          <w:b/>
          <w:color w:val="243962"/>
          <w:sz w:val="30"/>
          <w:szCs w:val="30"/>
        </w:rPr>
        <w:t>07</w:t>
      </w:r>
      <w:r>
        <w:rPr>
          <w:rFonts w:ascii="Montserrat" w:hAnsi="Montserrat"/>
          <w:b/>
          <w:color w:val="243962"/>
          <w:sz w:val="30"/>
          <w:szCs w:val="30"/>
        </w:rPr>
        <w:t>% y registra el dato más bajo desde septiembre de 2022</w:t>
      </w:r>
    </w:p>
    <w:p w14:paraId="13B51AFB" w14:textId="44B50597" w:rsidR="00173927" w:rsidRPr="003E27DF" w:rsidRDefault="004023BD" w:rsidP="00173927">
      <w:pPr>
        <w:pStyle w:val="Prrafodelista"/>
        <w:numPr>
          <w:ilvl w:val="0"/>
          <w:numId w:val="1"/>
        </w:numPr>
        <w:spacing w:line="256" w:lineRule="auto"/>
        <w:ind w:left="567" w:hanging="207"/>
        <w:rPr>
          <w:rFonts w:ascii="Muli" w:hAnsi="Muli"/>
        </w:rPr>
      </w:pPr>
      <w:r w:rsidRPr="003E27DF">
        <w:rPr>
          <w:rFonts w:ascii="Muli" w:hAnsi="Muli"/>
        </w:rPr>
        <w:t xml:space="preserve">El índice de referencia </w:t>
      </w:r>
      <w:r w:rsidR="00007B8A">
        <w:rPr>
          <w:rFonts w:ascii="Muli" w:hAnsi="Muli"/>
        </w:rPr>
        <w:t>anota</w:t>
      </w:r>
      <w:r w:rsidR="003E27DF">
        <w:rPr>
          <w:rFonts w:ascii="Muli" w:hAnsi="Muli"/>
        </w:rPr>
        <w:t xml:space="preserve"> una caída de </w:t>
      </w:r>
      <w:r w:rsidR="0004551F" w:rsidRPr="003E27DF">
        <w:rPr>
          <w:rFonts w:ascii="Muli" w:hAnsi="Muli"/>
        </w:rPr>
        <w:t>0,1</w:t>
      </w:r>
      <w:r w:rsidR="00764EE2" w:rsidRPr="003E27DF">
        <w:rPr>
          <w:rFonts w:ascii="Muli" w:hAnsi="Muli"/>
        </w:rPr>
        <w:t>1</w:t>
      </w:r>
      <w:r w:rsidR="00101ED0" w:rsidRPr="003E27DF">
        <w:rPr>
          <w:rFonts w:ascii="Muli" w:hAnsi="Muli"/>
        </w:rPr>
        <w:t>8</w:t>
      </w:r>
      <w:r w:rsidR="0004551F" w:rsidRPr="003E27DF">
        <w:rPr>
          <w:rFonts w:ascii="Muli" w:hAnsi="Muli"/>
        </w:rPr>
        <w:t xml:space="preserve"> </w:t>
      </w:r>
      <w:r w:rsidR="00B3350B" w:rsidRPr="003E27DF">
        <w:rPr>
          <w:rFonts w:ascii="Muli" w:hAnsi="Muli"/>
        </w:rPr>
        <w:t xml:space="preserve">puntos porcentuales </w:t>
      </w:r>
      <w:r w:rsidR="00007B8A">
        <w:rPr>
          <w:rFonts w:ascii="Muli" w:hAnsi="Muli"/>
        </w:rPr>
        <w:t xml:space="preserve">respecto al dato de enero (2,525%) y </w:t>
      </w:r>
      <w:r w:rsidR="003E27DF">
        <w:rPr>
          <w:rFonts w:ascii="Muli" w:hAnsi="Muli"/>
        </w:rPr>
        <w:t>de</w:t>
      </w:r>
      <w:r w:rsidR="00B3350B" w:rsidRPr="003E27DF">
        <w:rPr>
          <w:rFonts w:ascii="Muli" w:hAnsi="Muli"/>
        </w:rPr>
        <w:t xml:space="preserve"> </w:t>
      </w:r>
      <w:r w:rsidR="0004551F" w:rsidRPr="003E27DF">
        <w:rPr>
          <w:rFonts w:ascii="Muli" w:hAnsi="Muli"/>
        </w:rPr>
        <w:t>1,26</w:t>
      </w:r>
      <w:r w:rsidR="00915568">
        <w:rPr>
          <w:rFonts w:ascii="Muli" w:hAnsi="Muli"/>
        </w:rPr>
        <w:t>4</w:t>
      </w:r>
      <w:r w:rsidR="0004551F" w:rsidRPr="003E27DF">
        <w:rPr>
          <w:rFonts w:ascii="Muli" w:hAnsi="Muli"/>
        </w:rPr>
        <w:t xml:space="preserve"> </w:t>
      </w:r>
      <w:r w:rsidR="00B3350B" w:rsidRPr="003E27DF">
        <w:rPr>
          <w:rFonts w:ascii="Muli" w:hAnsi="Muli"/>
        </w:rPr>
        <w:t>puntos</w:t>
      </w:r>
      <w:r w:rsidR="00803760">
        <w:rPr>
          <w:rFonts w:ascii="Muli" w:hAnsi="Muli"/>
        </w:rPr>
        <w:t xml:space="preserve"> respecto a cómo estaba hace justo un año, en </w:t>
      </w:r>
      <w:r w:rsidR="00B3350B" w:rsidRPr="003E27DF">
        <w:rPr>
          <w:rFonts w:ascii="Muli" w:hAnsi="Muli"/>
        </w:rPr>
        <w:t>febrero de 2024</w:t>
      </w:r>
      <w:r w:rsidR="003E27DF">
        <w:rPr>
          <w:rFonts w:ascii="Muli" w:hAnsi="Muli"/>
        </w:rPr>
        <w:t xml:space="preserve"> (</w:t>
      </w:r>
      <w:r w:rsidR="00974C65" w:rsidRPr="003E27DF">
        <w:rPr>
          <w:rFonts w:ascii="Muli" w:hAnsi="Muli"/>
        </w:rPr>
        <w:t>3,671</w:t>
      </w:r>
      <w:r w:rsidR="0004551F" w:rsidRPr="003E27DF">
        <w:rPr>
          <w:rFonts w:ascii="Muli" w:hAnsi="Muli"/>
        </w:rPr>
        <w:t>%</w:t>
      </w:r>
      <w:r w:rsidR="003E27DF">
        <w:rPr>
          <w:rFonts w:ascii="Muli" w:hAnsi="Muli"/>
        </w:rPr>
        <w:t>).</w:t>
      </w:r>
    </w:p>
    <w:p w14:paraId="25D8BF97" w14:textId="4832A54A" w:rsidR="00173927" w:rsidRPr="003E27DF" w:rsidRDefault="003566C0" w:rsidP="00173927">
      <w:pPr>
        <w:pStyle w:val="Prrafodelista"/>
        <w:numPr>
          <w:ilvl w:val="0"/>
          <w:numId w:val="1"/>
        </w:numPr>
        <w:spacing w:line="256" w:lineRule="auto"/>
        <w:ind w:left="567" w:hanging="207"/>
        <w:rPr>
          <w:rFonts w:ascii="Muli" w:hAnsi="Muli"/>
        </w:rPr>
      </w:pPr>
      <w:r w:rsidRPr="003E27DF">
        <w:rPr>
          <w:rFonts w:ascii="Muli" w:hAnsi="Muli"/>
        </w:rPr>
        <w:t xml:space="preserve">Las personas que tengan que revisar su hipoteca variable </w:t>
      </w:r>
      <w:r w:rsidR="00AF2EF1" w:rsidRPr="003E27DF">
        <w:rPr>
          <w:rFonts w:ascii="Muli" w:hAnsi="Muli"/>
        </w:rPr>
        <w:t xml:space="preserve">con el dato del euríbor de este mes </w:t>
      </w:r>
      <w:r w:rsidRPr="003E27DF">
        <w:rPr>
          <w:rFonts w:ascii="Muli" w:hAnsi="Muli"/>
        </w:rPr>
        <w:t>verá</w:t>
      </w:r>
      <w:r w:rsidR="00AF2EF1" w:rsidRPr="003E27DF">
        <w:rPr>
          <w:rFonts w:ascii="Muli" w:hAnsi="Muli"/>
        </w:rPr>
        <w:t>n</w:t>
      </w:r>
      <w:r w:rsidRPr="003E27DF">
        <w:rPr>
          <w:rFonts w:ascii="Muli" w:hAnsi="Muli"/>
        </w:rPr>
        <w:t xml:space="preserve"> cómo su</w:t>
      </w:r>
      <w:r w:rsidR="00AF2EF1" w:rsidRPr="003E27DF">
        <w:rPr>
          <w:rFonts w:ascii="Muli" w:hAnsi="Muli"/>
        </w:rPr>
        <w:t>s</w:t>
      </w:r>
      <w:r w:rsidRPr="003E27DF">
        <w:rPr>
          <w:rFonts w:ascii="Muli" w:hAnsi="Muli"/>
        </w:rPr>
        <w:t xml:space="preserve"> cuota</w:t>
      </w:r>
      <w:r w:rsidR="00AF2EF1" w:rsidRPr="003E27DF">
        <w:rPr>
          <w:rFonts w:ascii="Muli" w:hAnsi="Muli"/>
        </w:rPr>
        <w:t>s</w:t>
      </w:r>
      <w:r w:rsidRPr="003E27DF">
        <w:rPr>
          <w:rFonts w:ascii="Muli" w:hAnsi="Muli"/>
        </w:rPr>
        <w:t xml:space="preserve"> mensual</w:t>
      </w:r>
      <w:r w:rsidR="00AF2EF1" w:rsidRPr="003E27DF">
        <w:rPr>
          <w:rFonts w:ascii="Muli" w:hAnsi="Muli"/>
        </w:rPr>
        <w:t>es</w:t>
      </w:r>
      <w:r w:rsidRPr="003E27DF">
        <w:rPr>
          <w:rFonts w:ascii="Muli" w:hAnsi="Muli"/>
        </w:rPr>
        <w:t xml:space="preserve"> baja</w:t>
      </w:r>
      <w:r w:rsidR="00AF2EF1" w:rsidRPr="003E27DF">
        <w:rPr>
          <w:rFonts w:ascii="Muli" w:hAnsi="Muli"/>
        </w:rPr>
        <w:t>n</w:t>
      </w:r>
      <w:r w:rsidRPr="003E27DF">
        <w:rPr>
          <w:rFonts w:ascii="Muli" w:hAnsi="Muli"/>
        </w:rPr>
        <w:t xml:space="preserve"> entre 1</w:t>
      </w:r>
      <w:r w:rsidR="002A0490" w:rsidRPr="003E27DF">
        <w:rPr>
          <w:rFonts w:ascii="Muli" w:hAnsi="Muli"/>
        </w:rPr>
        <w:t>06</w:t>
      </w:r>
      <w:r w:rsidRPr="003E27DF">
        <w:rPr>
          <w:rFonts w:ascii="Muli" w:hAnsi="Muli"/>
        </w:rPr>
        <w:t xml:space="preserve"> y 2</w:t>
      </w:r>
      <w:r w:rsidR="00881A92" w:rsidRPr="003E27DF">
        <w:rPr>
          <w:rFonts w:ascii="Muli" w:hAnsi="Muli"/>
        </w:rPr>
        <w:t>1</w:t>
      </w:r>
      <w:r w:rsidR="002A0490" w:rsidRPr="003E27DF">
        <w:rPr>
          <w:rFonts w:ascii="Muli" w:hAnsi="Muli"/>
        </w:rPr>
        <w:t>3</w:t>
      </w:r>
      <w:r w:rsidRPr="003E27DF">
        <w:rPr>
          <w:rFonts w:ascii="Muli" w:hAnsi="Muli"/>
        </w:rPr>
        <w:t xml:space="preserve"> euros en función de la cuantía que le</w:t>
      </w:r>
      <w:r w:rsidR="00AF2EF1" w:rsidRPr="003E27DF">
        <w:rPr>
          <w:rFonts w:ascii="Muli" w:hAnsi="Muli"/>
        </w:rPr>
        <w:t>s</w:t>
      </w:r>
      <w:r w:rsidRPr="003E27DF">
        <w:rPr>
          <w:rFonts w:ascii="Muli" w:hAnsi="Muli"/>
        </w:rPr>
        <w:t xml:space="preserve"> quede por devolver al banco.</w:t>
      </w:r>
    </w:p>
    <w:p w14:paraId="073AC45F" w14:textId="73B88CE6" w:rsidR="00173927" w:rsidRPr="003E27DF" w:rsidRDefault="00173927" w:rsidP="00173927">
      <w:pPr>
        <w:pStyle w:val="Prrafodelista"/>
        <w:numPr>
          <w:ilvl w:val="0"/>
          <w:numId w:val="1"/>
        </w:numPr>
        <w:spacing w:line="256" w:lineRule="auto"/>
        <w:ind w:left="567" w:hanging="207"/>
        <w:rPr>
          <w:rFonts w:ascii="Muli" w:hAnsi="Muli"/>
        </w:rPr>
      </w:pPr>
      <w:r w:rsidRPr="003E27DF">
        <w:rPr>
          <w:rFonts w:ascii="Muli" w:hAnsi="Muli"/>
        </w:rPr>
        <w:t>“</w:t>
      </w:r>
      <w:r w:rsidR="00672070" w:rsidRPr="003E27DF">
        <w:rPr>
          <w:rFonts w:ascii="Muli" w:hAnsi="Muli"/>
        </w:rPr>
        <w:t xml:space="preserve">El euríbor </w:t>
      </w:r>
      <w:r w:rsidR="00184E2D" w:rsidRPr="003E27DF">
        <w:rPr>
          <w:rFonts w:ascii="Muli" w:hAnsi="Muli"/>
        </w:rPr>
        <w:t>ha vuelto a su senda de caídas</w:t>
      </w:r>
      <w:r w:rsidR="00672070" w:rsidRPr="003E27DF">
        <w:rPr>
          <w:rFonts w:ascii="Muli" w:hAnsi="Muli"/>
        </w:rPr>
        <w:t>, pero</w:t>
      </w:r>
      <w:r w:rsidR="00184E2D" w:rsidRPr="003E27DF">
        <w:rPr>
          <w:rFonts w:ascii="Muli" w:hAnsi="Muli"/>
        </w:rPr>
        <w:t xml:space="preserve"> </w:t>
      </w:r>
      <w:r w:rsidR="0042726D" w:rsidRPr="003E27DF">
        <w:rPr>
          <w:rFonts w:ascii="Muli" w:hAnsi="Muli"/>
        </w:rPr>
        <w:t>se muestra más cauto que en 2024</w:t>
      </w:r>
      <w:r w:rsidRPr="003E27DF">
        <w:rPr>
          <w:rFonts w:ascii="Muli" w:hAnsi="Muli"/>
        </w:rPr>
        <w:t xml:space="preserve">”, explica Simone Colombelli, director de Hipotecas </w:t>
      </w:r>
      <w:r w:rsidR="003E27DF">
        <w:rPr>
          <w:rFonts w:ascii="Muli" w:hAnsi="Muli"/>
        </w:rPr>
        <w:t xml:space="preserve">de </w:t>
      </w:r>
      <w:r w:rsidRPr="003E27DF">
        <w:rPr>
          <w:rFonts w:ascii="Muli" w:hAnsi="Muli"/>
        </w:rPr>
        <w:t>iAhorro</w:t>
      </w:r>
      <w:r w:rsidR="0042726D" w:rsidRPr="003E27DF">
        <w:rPr>
          <w:rFonts w:ascii="Muli" w:hAnsi="Muli"/>
        </w:rPr>
        <w:t>, que agrega que “</w:t>
      </w:r>
      <w:r w:rsidR="00184E2D" w:rsidRPr="003E27DF">
        <w:rPr>
          <w:rFonts w:ascii="Muli" w:hAnsi="Muli"/>
        </w:rPr>
        <w:t>si</w:t>
      </w:r>
      <w:r w:rsidR="0042726D" w:rsidRPr="003E27DF">
        <w:rPr>
          <w:rFonts w:ascii="Muli" w:hAnsi="Muli"/>
        </w:rPr>
        <w:t xml:space="preserve"> </w:t>
      </w:r>
      <w:r w:rsidR="00DB6008" w:rsidRPr="003E27DF">
        <w:rPr>
          <w:rFonts w:ascii="Muli" w:hAnsi="Muli"/>
        </w:rPr>
        <w:t>el euríbor v</w:t>
      </w:r>
      <w:r w:rsidR="003E27DF">
        <w:rPr>
          <w:rFonts w:ascii="Muli" w:hAnsi="Muli"/>
        </w:rPr>
        <w:t xml:space="preserve">olviera </w:t>
      </w:r>
      <w:r w:rsidR="00DB6008" w:rsidRPr="003E27DF">
        <w:rPr>
          <w:rFonts w:ascii="Muli" w:hAnsi="Muli"/>
        </w:rPr>
        <w:t>a registrar valores muy b</w:t>
      </w:r>
      <w:r w:rsidR="0042726D" w:rsidRPr="003E27DF">
        <w:rPr>
          <w:rFonts w:ascii="Muli" w:hAnsi="Muli"/>
        </w:rPr>
        <w:t>ajos</w:t>
      </w:r>
      <w:r w:rsidR="004C38DD" w:rsidRPr="003E27DF">
        <w:rPr>
          <w:rFonts w:ascii="Muli" w:hAnsi="Muli"/>
        </w:rPr>
        <w:t>,</w:t>
      </w:r>
      <w:r w:rsidR="0042726D" w:rsidRPr="003E27DF">
        <w:rPr>
          <w:rFonts w:ascii="Muli" w:hAnsi="Muli"/>
        </w:rPr>
        <w:t xml:space="preserve"> </w:t>
      </w:r>
      <w:r w:rsidR="00DB6008" w:rsidRPr="003E27DF">
        <w:rPr>
          <w:rFonts w:ascii="Muli" w:hAnsi="Muli"/>
        </w:rPr>
        <w:t xml:space="preserve">forzaría a la banca a </w:t>
      </w:r>
      <w:r w:rsidR="00937752" w:rsidRPr="003E27DF">
        <w:rPr>
          <w:rFonts w:ascii="Muli" w:hAnsi="Muli"/>
        </w:rPr>
        <w:t>buscar otra</w:t>
      </w:r>
      <w:r w:rsidR="00DB6008" w:rsidRPr="003E27DF">
        <w:rPr>
          <w:rFonts w:ascii="Muli" w:hAnsi="Muli"/>
        </w:rPr>
        <w:t>s</w:t>
      </w:r>
      <w:r w:rsidR="00937752" w:rsidRPr="003E27DF">
        <w:rPr>
          <w:rFonts w:ascii="Muli" w:hAnsi="Muli"/>
        </w:rPr>
        <w:t xml:space="preserve"> vía</w:t>
      </w:r>
      <w:r w:rsidR="00DB6008" w:rsidRPr="003E27DF">
        <w:rPr>
          <w:rFonts w:ascii="Muli" w:hAnsi="Muli"/>
        </w:rPr>
        <w:t>s</w:t>
      </w:r>
      <w:r w:rsidR="003E27DF">
        <w:rPr>
          <w:rFonts w:ascii="Muli" w:hAnsi="Muli"/>
        </w:rPr>
        <w:t xml:space="preserve"> </w:t>
      </w:r>
      <w:r w:rsidR="00DB6008" w:rsidRPr="003E27DF">
        <w:rPr>
          <w:rFonts w:ascii="Muli" w:hAnsi="Muli"/>
        </w:rPr>
        <w:t>para ganar rentabilidad</w:t>
      </w:r>
      <w:r w:rsidR="003E27DF">
        <w:rPr>
          <w:rFonts w:ascii="Muli" w:hAnsi="Muli"/>
        </w:rPr>
        <w:t xml:space="preserve"> con las hipotecas</w:t>
      </w:r>
      <w:r w:rsidR="00184E2D" w:rsidRPr="003E27DF">
        <w:rPr>
          <w:rFonts w:ascii="Muli" w:hAnsi="Muli"/>
        </w:rPr>
        <w:t>”.</w:t>
      </w:r>
    </w:p>
    <w:p w14:paraId="748C330C" w14:textId="77777777" w:rsidR="00173927" w:rsidRPr="003E27DF" w:rsidRDefault="00173927" w:rsidP="00173927">
      <w:pPr>
        <w:pStyle w:val="Prrafodelista"/>
        <w:spacing w:line="256" w:lineRule="auto"/>
        <w:ind w:left="567"/>
        <w:rPr>
          <w:rFonts w:ascii="Muli" w:hAnsi="Muli"/>
        </w:rPr>
      </w:pPr>
    </w:p>
    <w:p w14:paraId="418F3896" w14:textId="3D1AAC4E" w:rsidR="00173927" w:rsidRPr="003E27DF" w:rsidRDefault="00173927" w:rsidP="00173927">
      <w:pPr>
        <w:spacing w:line="256" w:lineRule="auto"/>
        <w:rPr>
          <w:rFonts w:ascii="Muli" w:hAnsi="Muli"/>
        </w:rPr>
      </w:pPr>
      <w:r w:rsidRPr="003E27DF">
        <w:rPr>
          <w:rFonts w:ascii="Muli" w:hAnsi="Muli"/>
        </w:rPr>
        <w:t>Madrid, 2</w:t>
      </w:r>
      <w:r w:rsidR="00405F3B">
        <w:rPr>
          <w:rFonts w:ascii="Muli" w:hAnsi="Muli"/>
        </w:rPr>
        <w:t>8</w:t>
      </w:r>
      <w:r w:rsidRPr="003E27DF">
        <w:rPr>
          <w:rFonts w:ascii="Muli" w:hAnsi="Muli"/>
        </w:rPr>
        <w:t xml:space="preserve"> de febrero de 2025</w:t>
      </w:r>
    </w:p>
    <w:p w14:paraId="13A4340E" w14:textId="05FC124E" w:rsidR="00DF4A40" w:rsidRPr="003E27DF" w:rsidRDefault="00DA082B" w:rsidP="00173927">
      <w:pPr>
        <w:tabs>
          <w:tab w:val="left" w:pos="6379"/>
        </w:tabs>
        <w:spacing w:line="256" w:lineRule="auto"/>
        <w:rPr>
          <w:rFonts w:ascii="Muli" w:hAnsi="Muli"/>
        </w:rPr>
      </w:pPr>
      <w:r w:rsidRPr="003E27DF">
        <w:rPr>
          <w:rFonts w:ascii="Muli" w:hAnsi="Muli"/>
        </w:rPr>
        <w:t xml:space="preserve">El euríbor </w:t>
      </w:r>
      <w:r w:rsidR="00FC0DF1" w:rsidRPr="003E27DF">
        <w:rPr>
          <w:rFonts w:ascii="Muli" w:hAnsi="Muli"/>
        </w:rPr>
        <w:t>retoma</w:t>
      </w:r>
      <w:r w:rsidRPr="003E27DF">
        <w:rPr>
          <w:rFonts w:ascii="Muli" w:hAnsi="Muli"/>
        </w:rPr>
        <w:t xml:space="preserve"> su camino a la baja, aunque lo </w:t>
      </w:r>
      <w:r w:rsidR="00FC0DF1" w:rsidRPr="003E27DF">
        <w:rPr>
          <w:rFonts w:ascii="Muli" w:hAnsi="Muli"/>
        </w:rPr>
        <w:t>hace</w:t>
      </w:r>
      <w:r w:rsidRPr="003E27DF">
        <w:rPr>
          <w:rFonts w:ascii="Muli" w:hAnsi="Muli"/>
        </w:rPr>
        <w:t xml:space="preserve"> de una forma mucho m</w:t>
      </w:r>
      <w:r w:rsidR="005F3755" w:rsidRPr="003E27DF">
        <w:rPr>
          <w:rFonts w:ascii="Muli" w:hAnsi="Muli"/>
        </w:rPr>
        <w:t xml:space="preserve">enos drástica que </w:t>
      </w:r>
      <w:r w:rsidR="00FC0DF1" w:rsidRPr="003E27DF">
        <w:rPr>
          <w:rFonts w:ascii="Muli" w:hAnsi="Muli"/>
        </w:rPr>
        <w:t>la experimentada durante todo el segundo semestre de 2024. Concretamente, el índice de referencia por el que se calculan los tipos de interés de la mayoría de las hipotecas variables</w:t>
      </w:r>
      <w:r w:rsidR="00E05C36" w:rsidRPr="003E27DF">
        <w:rPr>
          <w:rFonts w:ascii="Muli" w:hAnsi="Muli"/>
        </w:rPr>
        <w:t xml:space="preserve"> contratadas</w:t>
      </w:r>
      <w:r w:rsidR="00FC0DF1" w:rsidRPr="003E27DF">
        <w:rPr>
          <w:rFonts w:ascii="Muli" w:hAnsi="Muli"/>
        </w:rPr>
        <w:t xml:space="preserve"> en España y en Europa</w:t>
      </w:r>
      <w:r w:rsidR="00E441D6">
        <w:rPr>
          <w:rFonts w:ascii="Muli" w:hAnsi="Muli"/>
        </w:rPr>
        <w:t xml:space="preserve"> ha cerrado este mes de febrero de 2025 </w:t>
      </w:r>
      <w:r w:rsidR="00FC0DF1" w:rsidRPr="003E27DF">
        <w:rPr>
          <w:rFonts w:ascii="Muli" w:hAnsi="Muli"/>
        </w:rPr>
        <w:t>en el 2,40</w:t>
      </w:r>
      <w:r w:rsidR="00405F3B">
        <w:rPr>
          <w:rFonts w:ascii="Muli" w:hAnsi="Muli"/>
        </w:rPr>
        <w:t>7</w:t>
      </w:r>
      <w:r w:rsidR="00FC0DF1" w:rsidRPr="003E27DF">
        <w:rPr>
          <w:rFonts w:ascii="Muli" w:hAnsi="Muli"/>
        </w:rPr>
        <w:t xml:space="preserve">%. </w:t>
      </w:r>
    </w:p>
    <w:p w14:paraId="2E7ABB9E" w14:textId="35D18EFB" w:rsidR="00173927" w:rsidRPr="003E27DF" w:rsidRDefault="00FC0DF1" w:rsidP="00173927">
      <w:pPr>
        <w:tabs>
          <w:tab w:val="left" w:pos="6379"/>
        </w:tabs>
        <w:spacing w:line="256" w:lineRule="auto"/>
        <w:rPr>
          <w:rFonts w:ascii="Muli" w:hAnsi="Muli"/>
        </w:rPr>
      </w:pPr>
      <w:r w:rsidRPr="003E27DF">
        <w:rPr>
          <w:rFonts w:ascii="Muli" w:hAnsi="Muli"/>
        </w:rPr>
        <w:t>E</w:t>
      </w:r>
      <w:r w:rsidR="00815C8E" w:rsidRPr="003E27DF">
        <w:rPr>
          <w:rFonts w:ascii="Muli" w:hAnsi="Muli"/>
        </w:rPr>
        <w:t>l</w:t>
      </w:r>
      <w:r w:rsidRPr="003E27DF">
        <w:rPr>
          <w:rFonts w:ascii="Muli" w:hAnsi="Muli"/>
        </w:rPr>
        <w:t xml:space="preserve"> valor medio</w:t>
      </w:r>
      <w:r w:rsidR="00815C8E" w:rsidRPr="003E27DF">
        <w:rPr>
          <w:rFonts w:ascii="Muli" w:hAnsi="Muli"/>
        </w:rPr>
        <w:t xml:space="preserve"> actual</w:t>
      </w:r>
      <w:r w:rsidRPr="003E27DF">
        <w:rPr>
          <w:rFonts w:ascii="Muli" w:hAnsi="Muli"/>
        </w:rPr>
        <w:t xml:space="preserve"> está </w:t>
      </w:r>
      <w:r w:rsidR="00BE22AE" w:rsidRPr="003E27DF">
        <w:rPr>
          <w:rFonts w:ascii="Muli" w:hAnsi="Muli"/>
        </w:rPr>
        <w:t>tan solo 0,1</w:t>
      </w:r>
      <w:r w:rsidR="00764EE2" w:rsidRPr="003E27DF">
        <w:rPr>
          <w:rFonts w:ascii="Muli" w:hAnsi="Muli"/>
        </w:rPr>
        <w:t>1</w:t>
      </w:r>
      <w:r w:rsidR="00C92637" w:rsidRPr="003E27DF">
        <w:rPr>
          <w:rFonts w:ascii="Muli" w:hAnsi="Muli"/>
        </w:rPr>
        <w:t>8</w:t>
      </w:r>
      <w:r w:rsidR="00BE22AE" w:rsidRPr="003E27DF">
        <w:rPr>
          <w:rFonts w:ascii="Muli" w:hAnsi="Muli"/>
        </w:rPr>
        <w:t xml:space="preserve"> puntos porcentuales por debajo del anotado </w:t>
      </w:r>
      <w:r w:rsidR="00815C8E" w:rsidRPr="003E27DF">
        <w:rPr>
          <w:rFonts w:ascii="Muli" w:hAnsi="Muli"/>
        </w:rPr>
        <w:t xml:space="preserve">en </w:t>
      </w:r>
      <w:r w:rsidR="00BE22AE" w:rsidRPr="003E27DF">
        <w:rPr>
          <w:rFonts w:ascii="Muli" w:hAnsi="Muli"/>
        </w:rPr>
        <w:t xml:space="preserve">enero (2,525%), pero </w:t>
      </w:r>
      <w:r w:rsidR="004D5009" w:rsidRPr="003E27DF">
        <w:rPr>
          <w:rFonts w:ascii="Muli" w:hAnsi="Muli"/>
        </w:rPr>
        <w:t>“</w:t>
      </w:r>
      <w:r w:rsidR="00BE22AE" w:rsidRPr="003E27DF">
        <w:rPr>
          <w:rFonts w:ascii="Muli" w:hAnsi="Muli"/>
        </w:rPr>
        <w:t>tras la subida registrada durante e</w:t>
      </w:r>
      <w:r w:rsidR="00815C8E" w:rsidRPr="003E27DF">
        <w:rPr>
          <w:rFonts w:ascii="Muli" w:hAnsi="Muli"/>
        </w:rPr>
        <w:t>se</w:t>
      </w:r>
      <w:r w:rsidR="00BE22AE" w:rsidRPr="003E27DF">
        <w:rPr>
          <w:rFonts w:ascii="Muli" w:hAnsi="Muli"/>
        </w:rPr>
        <w:t xml:space="preserve"> primer mes de este año, cualquier bajada que veamos a partir de ahora, por ligera que sea, es una buena noticia</w:t>
      </w:r>
      <w:r w:rsidR="005B6DEE" w:rsidRPr="003E27DF">
        <w:rPr>
          <w:rFonts w:ascii="Muli" w:hAnsi="Muli"/>
        </w:rPr>
        <w:t xml:space="preserve"> tanto para los hipotecados (presentes y futuros) como para el mercado </w:t>
      </w:r>
      <w:r w:rsidR="00815C8E" w:rsidRPr="003E27DF">
        <w:rPr>
          <w:rFonts w:ascii="Muli" w:hAnsi="Muli"/>
        </w:rPr>
        <w:t xml:space="preserve">hipotecario e inmobiliario </w:t>
      </w:r>
      <w:r w:rsidR="005B6DEE" w:rsidRPr="003E27DF">
        <w:rPr>
          <w:rFonts w:ascii="Muli" w:hAnsi="Muli"/>
        </w:rPr>
        <w:t>en general</w:t>
      </w:r>
      <w:r w:rsidR="004D5009" w:rsidRPr="003E27DF">
        <w:rPr>
          <w:rFonts w:ascii="Muli" w:hAnsi="Muli"/>
        </w:rPr>
        <w:t>”, afirma Simone Colombelli, director de Hipotecas del comparador y asesor hipotecario iAhorro.</w:t>
      </w:r>
    </w:p>
    <w:p w14:paraId="6CA1E350" w14:textId="43966938" w:rsidR="002529CD" w:rsidRDefault="00915568" w:rsidP="00173927">
      <w:pPr>
        <w:tabs>
          <w:tab w:val="left" w:pos="6379"/>
        </w:tabs>
        <w:spacing w:line="256" w:lineRule="auto"/>
        <w:rPr>
          <w:rFonts w:ascii="Muli" w:hAnsi="Muli"/>
        </w:rPr>
      </w:pPr>
      <w:r>
        <w:rPr>
          <w:rFonts w:ascii="Muli" w:hAnsi="Muli"/>
          <w:noProof/>
        </w:rPr>
        <w:drawing>
          <wp:inline distT="0" distB="0" distL="0" distR="0" wp14:anchorId="7C4F644E" wp14:editId="3256DD2E">
            <wp:extent cx="5242560" cy="2796361"/>
            <wp:effectExtent l="0" t="0" r="0" b="4445"/>
            <wp:docPr id="777460257" name="Imagen 1" descr="Gráfico, Gráfico de líne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60257" name="Imagen 1" descr="Gráfico, Gráfico de líneas&#10;&#10;El contenido generado por IA puede ser incorrecto."/>
                    <pic:cNvPicPr/>
                  </pic:nvPicPr>
                  <pic:blipFill rotWithShape="1">
                    <a:blip r:embed="rId7" cstate="print">
                      <a:extLst>
                        <a:ext uri="{28A0092B-C50C-407E-A947-70E740481C1C}">
                          <a14:useLocalDpi xmlns:a14="http://schemas.microsoft.com/office/drawing/2010/main" val="0"/>
                        </a:ext>
                      </a:extLst>
                    </a:blip>
                    <a:srcRect b="5164"/>
                    <a:stretch/>
                  </pic:blipFill>
                  <pic:spPr bwMode="auto">
                    <a:xfrm>
                      <a:off x="0" y="0"/>
                      <a:ext cx="5248712" cy="2799643"/>
                    </a:xfrm>
                    <a:prstGeom prst="rect">
                      <a:avLst/>
                    </a:prstGeom>
                    <a:ln>
                      <a:noFill/>
                    </a:ln>
                    <a:extLst>
                      <a:ext uri="{53640926-AAD7-44D8-BBD7-CCE9431645EC}">
                        <a14:shadowObscured xmlns:a14="http://schemas.microsoft.com/office/drawing/2010/main"/>
                      </a:ext>
                    </a:extLst>
                  </pic:spPr>
                </pic:pic>
              </a:graphicData>
            </a:graphic>
          </wp:inline>
        </w:drawing>
      </w:r>
    </w:p>
    <w:p w14:paraId="01E7FE50" w14:textId="0B8D6A29" w:rsidR="00173927" w:rsidRDefault="0048707E" w:rsidP="00173927">
      <w:pPr>
        <w:spacing w:line="256" w:lineRule="auto"/>
        <w:rPr>
          <w:rFonts w:ascii="Muli" w:hAnsi="Muli"/>
        </w:rPr>
      </w:pPr>
      <w:r>
        <w:rPr>
          <w:rFonts w:ascii="Muli" w:hAnsi="Muli"/>
        </w:rPr>
        <w:lastRenderedPageBreak/>
        <w:t>Es más, si miramos los datos diarios</w:t>
      </w:r>
      <w:r w:rsidR="00A215B7">
        <w:rPr>
          <w:rFonts w:ascii="Muli" w:hAnsi="Muli"/>
        </w:rPr>
        <w:t>,</w:t>
      </w:r>
      <w:r>
        <w:rPr>
          <w:rFonts w:ascii="Muli" w:hAnsi="Muli"/>
        </w:rPr>
        <w:t xml:space="preserve"> vemos que los dos primeros días de este segundo mes del año</w:t>
      </w:r>
      <w:r w:rsidR="00A215B7">
        <w:rPr>
          <w:rFonts w:ascii="Muli" w:hAnsi="Muli"/>
        </w:rPr>
        <w:t xml:space="preserve"> el euríbor</w:t>
      </w:r>
      <w:r>
        <w:rPr>
          <w:rFonts w:ascii="Muli" w:hAnsi="Muli"/>
        </w:rPr>
        <w:t xml:space="preserve"> registró dos caídas bastante contundentes, hasta anotar</w:t>
      </w:r>
      <w:r w:rsidR="00A42CC8">
        <w:rPr>
          <w:rFonts w:ascii="Muli" w:hAnsi="Muli"/>
        </w:rPr>
        <w:t xml:space="preserve"> el </w:t>
      </w:r>
      <w:r w:rsidR="00FF00A3">
        <w:rPr>
          <w:rFonts w:ascii="Muli" w:hAnsi="Muli"/>
        </w:rPr>
        <w:t xml:space="preserve">martes </w:t>
      </w:r>
      <w:r w:rsidR="00A42CC8">
        <w:rPr>
          <w:rFonts w:ascii="Muli" w:hAnsi="Muli"/>
        </w:rPr>
        <w:t>día 4 de este mes</w:t>
      </w:r>
      <w:r>
        <w:rPr>
          <w:rFonts w:ascii="Muli" w:hAnsi="Muli"/>
        </w:rPr>
        <w:t xml:space="preserve"> el </w:t>
      </w:r>
      <w:r w:rsidR="00FF00A3">
        <w:rPr>
          <w:rFonts w:ascii="Muli" w:hAnsi="Muli"/>
        </w:rPr>
        <w:t>valor</w:t>
      </w:r>
      <w:r>
        <w:rPr>
          <w:rFonts w:ascii="Muli" w:hAnsi="Muli"/>
        </w:rPr>
        <w:t xml:space="preserve"> diario más bajo </w:t>
      </w:r>
      <w:r w:rsidR="00A42CC8">
        <w:rPr>
          <w:rFonts w:ascii="Muli" w:hAnsi="Muli"/>
        </w:rPr>
        <w:t xml:space="preserve">registrado desde </w:t>
      </w:r>
      <w:r w:rsidR="004F7810">
        <w:rPr>
          <w:rFonts w:ascii="Muli" w:hAnsi="Muli"/>
        </w:rPr>
        <w:t>el 20 de septiembre de 2022</w:t>
      </w:r>
      <w:r w:rsidR="00A42CC8">
        <w:rPr>
          <w:rFonts w:ascii="Muli" w:hAnsi="Muli"/>
        </w:rPr>
        <w:t>, con un 2,35%.</w:t>
      </w:r>
      <w:r w:rsidR="004F7810">
        <w:rPr>
          <w:rFonts w:ascii="Muli" w:hAnsi="Muli"/>
        </w:rPr>
        <w:t xml:space="preserve"> Gracias</w:t>
      </w:r>
      <w:r w:rsidR="00D351F5">
        <w:rPr>
          <w:rFonts w:ascii="Muli" w:hAnsi="Muli"/>
        </w:rPr>
        <w:t>, en parte, a estos datos también</w:t>
      </w:r>
      <w:r w:rsidR="004F7810">
        <w:rPr>
          <w:rFonts w:ascii="Muli" w:hAnsi="Muli"/>
        </w:rPr>
        <w:t xml:space="preserve"> la media mensual </w:t>
      </w:r>
      <w:r w:rsidR="00D351F5">
        <w:rPr>
          <w:rFonts w:ascii="Muli" w:hAnsi="Muli"/>
        </w:rPr>
        <w:t>del euríbor de</w:t>
      </w:r>
      <w:r w:rsidR="004F7810">
        <w:rPr>
          <w:rFonts w:ascii="Muli" w:hAnsi="Muli"/>
        </w:rPr>
        <w:t xml:space="preserve"> febrero de 2025 es la más baja </w:t>
      </w:r>
      <w:r w:rsidR="00D405AB">
        <w:rPr>
          <w:rFonts w:ascii="Muli" w:hAnsi="Muli"/>
        </w:rPr>
        <w:t xml:space="preserve">marcada por </w:t>
      </w:r>
      <w:r w:rsidR="004B1654">
        <w:rPr>
          <w:rFonts w:ascii="Muli" w:hAnsi="Muli"/>
        </w:rPr>
        <w:t xml:space="preserve">el indicador </w:t>
      </w:r>
      <w:r w:rsidR="00D405AB">
        <w:rPr>
          <w:rFonts w:ascii="Muli" w:hAnsi="Muli"/>
        </w:rPr>
        <w:t>en los últimos</w:t>
      </w:r>
      <w:r w:rsidR="00D351F5">
        <w:rPr>
          <w:rFonts w:ascii="Muli" w:hAnsi="Muli"/>
        </w:rPr>
        <w:t xml:space="preserve"> dos </w:t>
      </w:r>
      <w:r w:rsidR="004B1654">
        <w:rPr>
          <w:rFonts w:ascii="Muli" w:hAnsi="Muli"/>
        </w:rPr>
        <w:t>año</w:t>
      </w:r>
      <w:r w:rsidR="00D351F5">
        <w:rPr>
          <w:rFonts w:ascii="Muli" w:hAnsi="Muli"/>
        </w:rPr>
        <w:t>s y medio, desde septiembre de 2022 (</w:t>
      </w:r>
      <w:r w:rsidR="00D23A20">
        <w:rPr>
          <w:rFonts w:ascii="Muli" w:hAnsi="Muli"/>
        </w:rPr>
        <w:t>2,233%)</w:t>
      </w:r>
      <w:r w:rsidR="00D351F5">
        <w:rPr>
          <w:rFonts w:ascii="Muli" w:hAnsi="Muli"/>
        </w:rPr>
        <w:t>.</w:t>
      </w:r>
    </w:p>
    <w:p w14:paraId="3C13EAA0" w14:textId="6BA68F26" w:rsidR="00173927" w:rsidRDefault="004B1654" w:rsidP="00173927">
      <w:pPr>
        <w:spacing w:line="256" w:lineRule="auto"/>
        <w:rPr>
          <w:rFonts w:ascii="Muli" w:hAnsi="Muli"/>
        </w:rPr>
      </w:pPr>
      <w:r w:rsidRPr="004B1654">
        <w:rPr>
          <w:rFonts w:ascii="Muli" w:hAnsi="Muli"/>
        </w:rPr>
        <w:t>“</w:t>
      </w:r>
      <w:r>
        <w:rPr>
          <w:rFonts w:ascii="Muli" w:hAnsi="Muli"/>
        </w:rPr>
        <w:t>Tras la subida de enero, e</w:t>
      </w:r>
      <w:r w:rsidRPr="004B1654">
        <w:rPr>
          <w:rFonts w:ascii="Muli" w:hAnsi="Muli"/>
        </w:rPr>
        <w:t>l euríbor ha vuelto</w:t>
      </w:r>
      <w:r>
        <w:rPr>
          <w:rFonts w:ascii="Muli" w:hAnsi="Muli"/>
        </w:rPr>
        <w:t xml:space="preserve"> este mes</w:t>
      </w:r>
      <w:r w:rsidRPr="004B1654">
        <w:rPr>
          <w:rFonts w:ascii="Muli" w:hAnsi="Muli"/>
        </w:rPr>
        <w:t xml:space="preserve"> a su senda de caídas, pero vemos que se muestra</w:t>
      </w:r>
      <w:r w:rsidR="00A215B7">
        <w:rPr>
          <w:rFonts w:ascii="Muli" w:hAnsi="Muli"/>
        </w:rPr>
        <w:t>, por ahora,</w:t>
      </w:r>
      <w:r w:rsidRPr="004B1654">
        <w:rPr>
          <w:rFonts w:ascii="Muli" w:hAnsi="Muli"/>
        </w:rPr>
        <w:t xml:space="preserve"> más cauto que en 2024”, explica </w:t>
      </w:r>
      <w:r w:rsidR="00861FB4">
        <w:rPr>
          <w:rFonts w:ascii="Muli" w:hAnsi="Muli"/>
        </w:rPr>
        <w:t>Colombelli</w:t>
      </w:r>
      <w:r w:rsidRPr="004B1654">
        <w:rPr>
          <w:rFonts w:ascii="Muli" w:hAnsi="Muli"/>
        </w:rPr>
        <w:t>, que agrega que “esta cautela puede ser positiva porque, si el euríbor vuelve a registrar valores muy bajos</w:t>
      </w:r>
      <w:r w:rsidR="00A215B7">
        <w:rPr>
          <w:rFonts w:ascii="Muli" w:hAnsi="Muli"/>
        </w:rPr>
        <w:t>, en torno al 1% o por debajo</w:t>
      </w:r>
      <w:r w:rsidRPr="004B1654">
        <w:rPr>
          <w:rFonts w:ascii="Muli" w:hAnsi="Muli"/>
        </w:rPr>
        <w:t>, forzaría a la banca a buscar otras vías para ganar rentabilidad</w:t>
      </w:r>
      <w:r w:rsidR="00046F68">
        <w:rPr>
          <w:rFonts w:ascii="Muli" w:hAnsi="Muli"/>
        </w:rPr>
        <w:t xml:space="preserve"> con las hipotecas</w:t>
      </w:r>
      <w:r w:rsidR="00843A16">
        <w:rPr>
          <w:rFonts w:ascii="Muli" w:hAnsi="Muli"/>
        </w:rPr>
        <w:t>, como pueden ser un aumento de las vinculaciones asociadas a los préstamo</w:t>
      </w:r>
      <w:r w:rsidR="00A215B7">
        <w:rPr>
          <w:rFonts w:ascii="Muli" w:hAnsi="Muli"/>
        </w:rPr>
        <w:t>s</w:t>
      </w:r>
      <w:r w:rsidR="00843A16">
        <w:rPr>
          <w:rFonts w:ascii="Muli" w:hAnsi="Muli"/>
        </w:rPr>
        <w:t xml:space="preserve"> hipotecarios (seguros, tarjetas, inversiones…) y de sus comisiones (de apertura, amortización</w:t>
      </w:r>
      <w:r w:rsidR="00A215B7">
        <w:rPr>
          <w:rFonts w:ascii="Muli" w:hAnsi="Muli"/>
        </w:rPr>
        <w:t>, subrogación</w:t>
      </w:r>
      <w:r w:rsidR="00843A16">
        <w:rPr>
          <w:rFonts w:ascii="Muli" w:hAnsi="Muli"/>
        </w:rPr>
        <w:t>…)”.</w:t>
      </w:r>
      <w:r w:rsidR="00D405AB">
        <w:rPr>
          <w:rFonts w:ascii="Muli" w:hAnsi="Muli"/>
        </w:rPr>
        <w:t xml:space="preserve"> </w:t>
      </w:r>
    </w:p>
    <w:p w14:paraId="5F49F3A1" w14:textId="3E0190FE" w:rsidR="00EE6CCB" w:rsidRDefault="006A544D" w:rsidP="00173927">
      <w:pPr>
        <w:spacing w:line="256" w:lineRule="auto"/>
        <w:rPr>
          <w:rFonts w:ascii="Muli" w:hAnsi="Muli"/>
        </w:rPr>
      </w:pPr>
      <w:r>
        <w:rPr>
          <w:rFonts w:ascii="Muli" w:hAnsi="Muli"/>
        </w:rPr>
        <w:t xml:space="preserve">Igualmente, </w:t>
      </w:r>
      <w:r w:rsidR="00861FB4">
        <w:rPr>
          <w:rFonts w:ascii="Muli" w:hAnsi="Muli"/>
        </w:rPr>
        <w:t>el portavoz de iAhorro</w:t>
      </w:r>
      <w:r>
        <w:rPr>
          <w:rFonts w:ascii="Muli" w:hAnsi="Muli"/>
        </w:rPr>
        <w:t xml:space="preserve"> añade que la banca ahora mismo está “volcada en ofrecer hipotecas fijas y, sobre todo, mixtas a sus clientes, pero una bajada muy drástica del euríbor</w:t>
      </w:r>
      <w:r w:rsidR="00EE6CCB">
        <w:rPr>
          <w:rFonts w:ascii="Muli" w:hAnsi="Muli"/>
        </w:rPr>
        <w:t xml:space="preserve"> podría volver a resucitar la hipoteca variable, un producto que ahora mismo no es rentable y que prácticamente nadie quiere”.</w:t>
      </w:r>
    </w:p>
    <w:p w14:paraId="5CEB94F6" w14:textId="7D73C954" w:rsidR="00A41D41" w:rsidRDefault="00A41D41" w:rsidP="00A41D41">
      <w:pPr>
        <w:ind w:left="708" w:hanging="708"/>
        <w:rPr>
          <w:rFonts w:ascii="Muli" w:hAnsi="Muli"/>
        </w:rPr>
      </w:pPr>
      <w:r>
        <w:rPr>
          <w:rFonts w:ascii="Montserrat" w:hAnsi="Montserrat"/>
          <w:b/>
          <w:bCs/>
          <w:color w:val="243962"/>
          <w:bdr w:val="none" w:sz="0" w:space="0" w:color="auto" w:frame="1"/>
          <w:shd w:val="clear" w:color="auto" w:fill="FFFFFF"/>
        </w:rPr>
        <w:t>¿Cómo afecta la caída del euríbor a los hipotecados a tipo variable?</w:t>
      </w:r>
    </w:p>
    <w:p w14:paraId="18324E1E" w14:textId="47D61F21" w:rsidR="00A41D41" w:rsidRPr="003E27DF" w:rsidRDefault="001B0765" w:rsidP="00173927">
      <w:pPr>
        <w:spacing w:line="256" w:lineRule="auto"/>
        <w:rPr>
          <w:rFonts w:ascii="Muli" w:hAnsi="Muli"/>
        </w:rPr>
      </w:pPr>
      <w:r w:rsidRPr="003E27DF">
        <w:rPr>
          <w:rFonts w:ascii="Muli" w:hAnsi="Muli"/>
        </w:rPr>
        <w:t>La caída del euríbor es en este momento una buena noticia para los hipotecados, tanto para aquellos que ya tienen el préstamo firmado como para quienes tienen previsto contratarlo en las próximas semanas o meses. Por un lado, quienes tengan ya contratada una hipoteca a tipo variable y les toque hacer, con el dato del euríbor de este mes de febrero de 2025 su revisión anual</w:t>
      </w:r>
      <w:r w:rsidR="00FA2D99" w:rsidRPr="003E27DF">
        <w:rPr>
          <w:rFonts w:ascii="Muli" w:hAnsi="Muli"/>
        </w:rPr>
        <w:t>,</w:t>
      </w:r>
      <w:r w:rsidRPr="003E27DF">
        <w:rPr>
          <w:rFonts w:ascii="Muli" w:hAnsi="Muli"/>
        </w:rPr>
        <w:t xml:space="preserve"> verán una rebaja en sus cuotas de entre </w:t>
      </w:r>
      <w:r w:rsidR="00FA2D99" w:rsidRPr="003E27DF">
        <w:rPr>
          <w:rFonts w:ascii="Muli" w:hAnsi="Muli"/>
        </w:rPr>
        <w:t>1</w:t>
      </w:r>
      <w:r w:rsidR="002A0490" w:rsidRPr="003E27DF">
        <w:rPr>
          <w:rFonts w:ascii="Muli" w:hAnsi="Muli"/>
        </w:rPr>
        <w:t>06</w:t>
      </w:r>
      <w:r w:rsidRPr="003E27DF">
        <w:rPr>
          <w:rFonts w:ascii="Muli" w:hAnsi="Muli"/>
        </w:rPr>
        <w:t xml:space="preserve"> y </w:t>
      </w:r>
      <w:r w:rsidR="00881A92" w:rsidRPr="003E27DF">
        <w:rPr>
          <w:rFonts w:ascii="Muli" w:hAnsi="Muli"/>
        </w:rPr>
        <w:t>21</w:t>
      </w:r>
      <w:r w:rsidR="002A0490" w:rsidRPr="003E27DF">
        <w:rPr>
          <w:rFonts w:ascii="Muli" w:hAnsi="Muli"/>
        </w:rPr>
        <w:t>3</w:t>
      </w:r>
      <w:r w:rsidR="00881A92" w:rsidRPr="003E27DF">
        <w:rPr>
          <w:rFonts w:ascii="Muli" w:hAnsi="Muli"/>
        </w:rPr>
        <w:t xml:space="preserve"> </w:t>
      </w:r>
      <w:r w:rsidRPr="003E27DF">
        <w:rPr>
          <w:rFonts w:ascii="Muli" w:hAnsi="Muli"/>
        </w:rPr>
        <w:t>euros mensuales porque este indicador se sitúa 1,26</w:t>
      </w:r>
      <w:r w:rsidR="00915568">
        <w:rPr>
          <w:rFonts w:ascii="Muli" w:hAnsi="Muli"/>
        </w:rPr>
        <w:t>4</w:t>
      </w:r>
      <w:r w:rsidRPr="003E27DF">
        <w:rPr>
          <w:rFonts w:ascii="Muli" w:hAnsi="Muli"/>
        </w:rPr>
        <w:t xml:space="preserve"> puntos por debajo del valor que registró hace justo un año, en febrero de 2024 (3,671%).</w:t>
      </w:r>
    </w:p>
    <w:p w14:paraId="1AE2796C" w14:textId="4057F994" w:rsidR="00C45CD1" w:rsidRDefault="00534CB8" w:rsidP="00173927">
      <w:pPr>
        <w:spacing w:line="256" w:lineRule="auto"/>
        <w:rPr>
          <w:rFonts w:ascii="Muli" w:hAnsi="Muli"/>
        </w:rPr>
      </w:pPr>
      <w:r>
        <w:rPr>
          <w:rFonts w:ascii="Muli" w:hAnsi="Muli"/>
          <w:noProof/>
        </w:rPr>
        <w:drawing>
          <wp:inline distT="0" distB="0" distL="0" distR="0" wp14:anchorId="0A0E6934" wp14:editId="4CB3D3C5">
            <wp:extent cx="5400040" cy="2926080"/>
            <wp:effectExtent l="0" t="0" r="0" b="7620"/>
            <wp:docPr id="392039539" name="Imagen 3"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39539" name="Imagen 3" descr="Tabla&#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b="14269"/>
                    <a:stretch/>
                  </pic:blipFill>
                  <pic:spPr bwMode="auto">
                    <a:xfrm>
                      <a:off x="0" y="0"/>
                      <a:ext cx="5400040" cy="2926080"/>
                    </a:xfrm>
                    <a:prstGeom prst="rect">
                      <a:avLst/>
                    </a:prstGeom>
                    <a:ln>
                      <a:noFill/>
                    </a:ln>
                    <a:extLst>
                      <a:ext uri="{53640926-AAD7-44D8-BBD7-CCE9431645EC}">
                        <a14:shadowObscured xmlns:a14="http://schemas.microsoft.com/office/drawing/2010/main"/>
                      </a:ext>
                    </a:extLst>
                  </pic:spPr>
                </pic:pic>
              </a:graphicData>
            </a:graphic>
          </wp:inline>
        </w:drawing>
      </w:r>
    </w:p>
    <w:p w14:paraId="3219599A" w14:textId="34EED44F" w:rsidR="008B7B7E" w:rsidRPr="003E27DF" w:rsidRDefault="0023010F" w:rsidP="008B7B7E">
      <w:pPr>
        <w:spacing w:line="256" w:lineRule="auto"/>
        <w:rPr>
          <w:rFonts w:ascii="Muli" w:hAnsi="Muli"/>
        </w:rPr>
      </w:pPr>
      <w:r>
        <w:rPr>
          <w:rFonts w:ascii="Muli" w:hAnsi="Muli"/>
        </w:rPr>
        <w:t>P</w:t>
      </w:r>
      <w:r w:rsidR="008B7B7E">
        <w:rPr>
          <w:rFonts w:ascii="Muli" w:hAnsi="Muli"/>
        </w:rPr>
        <w:t xml:space="preserve">or ejemplo, las personas </w:t>
      </w:r>
      <w:r w:rsidR="008B7B7E" w:rsidRPr="00A24571">
        <w:rPr>
          <w:rFonts w:ascii="Muli" w:hAnsi="Muli"/>
        </w:rPr>
        <w:t>q</w:t>
      </w:r>
      <w:r w:rsidR="008B7B7E">
        <w:rPr>
          <w:rFonts w:ascii="Muli" w:hAnsi="Muli"/>
        </w:rPr>
        <w:t>ue tengan</w:t>
      </w:r>
      <w:r w:rsidR="008B7B7E" w:rsidRPr="00A24571">
        <w:rPr>
          <w:rFonts w:ascii="Muli" w:hAnsi="Muli"/>
        </w:rPr>
        <w:t xml:space="preserve"> contratada una hipoteca variable a 30 años de 150.000 euros, con un tipo de interés de euríbor más un diferencial del 0,99%, </w:t>
      </w:r>
      <w:r w:rsidR="008B7B7E" w:rsidRPr="003E27DF">
        <w:rPr>
          <w:rFonts w:ascii="Muli" w:hAnsi="Muli"/>
        </w:rPr>
        <w:t>verán cómo sus cuotas caen 106,</w:t>
      </w:r>
      <w:r w:rsidR="00534CB8">
        <w:rPr>
          <w:rFonts w:ascii="Muli" w:hAnsi="Muli"/>
        </w:rPr>
        <w:t>86</w:t>
      </w:r>
      <w:r w:rsidR="008B7B7E" w:rsidRPr="003E27DF">
        <w:rPr>
          <w:rFonts w:ascii="Muli" w:hAnsi="Muli"/>
        </w:rPr>
        <w:t xml:space="preserve"> euros cada mes: de pagar 774,44 euros hasta ahora, pasarían a abonar una cuota de 667,</w:t>
      </w:r>
      <w:r w:rsidR="00534CB8">
        <w:rPr>
          <w:rFonts w:ascii="Muli" w:hAnsi="Muli"/>
        </w:rPr>
        <w:t>59</w:t>
      </w:r>
      <w:r w:rsidR="008B7B7E" w:rsidRPr="003E27DF">
        <w:rPr>
          <w:rFonts w:ascii="Muli" w:hAnsi="Muli"/>
        </w:rPr>
        <w:t xml:space="preserve"> euros. Esto, igualmente, supondría una rebaja anual de 1.</w:t>
      </w:r>
      <w:r w:rsidR="00066B9B" w:rsidRPr="003E27DF">
        <w:rPr>
          <w:rFonts w:ascii="Muli" w:hAnsi="Muli"/>
        </w:rPr>
        <w:t>28</w:t>
      </w:r>
      <w:r w:rsidR="003E3458">
        <w:rPr>
          <w:rFonts w:ascii="Muli" w:hAnsi="Muli"/>
        </w:rPr>
        <w:t>2,31</w:t>
      </w:r>
      <w:r w:rsidR="008B7B7E" w:rsidRPr="003E27DF">
        <w:rPr>
          <w:rFonts w:ascii="Muli" w:hAnsi="Muli"/>
        </w:rPr>
        <w:t xml:space="preserve"> euros.</w:t>
      </w:r>
    </w:p>
    <w:p w14:paraId="155E81E8" w14:textId="525572B9" w:rsidR="00A24571" w:rsidRPr="003E27DF" w:rsidRDefault="00DF4A40" w:rsidP="00173927">
      <w:pPr>
        <w:spacing w:line="256" w:lineRule="auto"/>
        <w:rPr>
          <w:rFonts w:ascii="Muli" w:hAnsi="Muli"/>
        </w:rPr>
      </w:pPr>
      <w:r w:rsidRPr="003E27DF">
        <w:rPr>
          <w:rFonts w:ascii="Muli" w:hAnsi="Muli"/>
        </w:rPr>
        <w:t>P</w:t>
      </w:r>
      <w:r w:rsidR="001255FC" w:rsidRPr="003E27DF">
        <w:rPr>
          <w:rFonts w:ascii="Muli" w:hAnsi="Muli"/>
        </w:rPr>
        <w:t xml:space="preserve">or su parte, si la cuantía de esa hipoteca ascendiera hasta los 300.000 euros, para una hipoteca con las mismas condiciones del ejemplo anterior, el ahorro mensual aumentaría hasta los </w:t>
      </w:r>
      <w:r w:rsidR="00881A92" w:rsidRPr="003E27DF">
        <w:rPr>
          <w:rFonts w:ascii="Muli" w:hAnsi="Muli"/>
        </w:rPr>
        <w:t>213,</w:t>
      </w:r>
      <w:r w:rsidR="003E3458">
        <w:rPr>
          <w:rFonts w:ascii="Muli" w:hAnsi="Muli"/>
        </w:rPr>
        <w:t>72</w:t>
      </w:r>
      <w:r w:rsidR="001255FC" w:rsidRPr="003E27DF">
        <w:rPr>
          <w:rFonts w:ascii="Muli" w:hAnsi="Muli"/>
        </w:rPr>
        <w:t xml:space="preserve"> euros cada mes: de 1.548,89 euros de cuota pasaría a pagar 1.33</w:t>
      </w:r>
      <w:r w:rsidR="00881A92" w:rsidRPr="003E27DF">
        <w:rPr>
          <w:rFonts w:ascii="Muli" w:hAnsi="Muli"/>
        </w:rPr>
        <w:t>5,</w:t>
      </w:r>
      <w:r w:rsidR="001255FC" w:rsidRPr="003E27DF">
        <w:rPr>
          <w:rFonts w:ascii="Muli" w:hAnsi="Muli"/>
        </w:rPr>
        <w:t xml:space="preserve"> e</w:t>
      </w:r>
      <w:r w:rsidR="003E3458">
        <w:rPr>
          <w:rFonts w:ascii="Muli" w:hAnsi="Muli"/>
        </w:rPr>
        <w:t>17</w:t>
      </w:r>
      <w:r w:rsidR="001255FC" w:rsidRPr="003E27DF">
        <w:rPr>
          <w:rFonts w:ascii="Muli" w:hAnsi="Muli"/>
        </w:rPr>
        <w:t>uros. En este caso el ahorro anual sería de 2.</w:t>
      </w:r>
      <w:r w:rsidR="00881A92" w:rsidRPr="003E27DF">
        <w:rPr>
          <w:rFonts w:ascii="Muli" w:hAnsi="Muli"/>
        </w:rPr>
        <w:t>5</w:t>
      </w:r>
      <w:r w:rsidR="003E3458">
        <w:rPr>
          <w:rFonts w:ascii="Muli" w:hAnsi="Muli"/>
        </w:rPr>
        <w:t>64,62</w:t>
      </w:r>
      <w:r w:rsidR="00C45CD1" w:rsidRPr="003E27DF">
        <w:rPr>
          <w:rFonts w:ascii="Muli" w:hAnsi="Muli"/>
        </w:rPr>
        <w:t xml:space="preserve"> </w:t>
      </w:r>
      <w:r w:rsidR="001255FC" w:rsidRPr="003E27DF">
        <w:rPr>
          <w:rFonts w:ascii="Muli" w:hAnsi="Muli"/>
        </w:rPr>
        <w:t>euros.</w:t>
      </w:r>
    </w:p>
    <w:p w14:paraId="55F605DC" w14:textId="0A6D54A8" w:rsidR="00173927" w:rsidRDefault="00086AD9" w:rsidP="00173927">
      <w:pPr>
        <w:ind w:left="708" w:hanging="708"/>
        <w:rPr>
          <w:rFonts w:ascii="Muli" w:hAnsi="Muli"/>
        </w:rPr>
      </w:pPr>
      <w:r>
        <w:rPr>
          <w:rFonts w:ascii="Montserrat" w:hAnsi="Montserrat"/>
          <w:b/>
          <w:bCs/>
          <w:color w:val="243962"/>
          <w:bdr w:val="none" w:sz="0" w:space="0" w:color="auto" w:frame="1"/>
          <w:shd w:val="clear" w:color="auto" w:fill="FFFFFF"/>
        </w:rPr>
        <w:t>¿</w:t>
      </w:r>
      <w:r w:rsidR="006B6577">
        <w:rPr>
          <w:rFonts w:ascii="Montserrat" w:hAnsi="Montserrat"/>
          <w:b/>
          <w:bCs/>
          <w:color w:val="243962"/>
          <w:bdr w:val="none" w:sz="0" w:space="0" w:color="auto" w:frame="1"/>
          <w:shd w:val="clear" w:color="auto" w:fill="FFFFFF"/>
        </w:rPr>
        <w:t>Qué hipotecas fijas y mixtas se pueden conseguir ahora</w:t>
      </w:r>
      <w:r>
        <w:rPr>
          <w:rFonts w:ascii="Montserrat" w:hAnsi="Montserrat"/>
          <w:b/>
          <w:bCs/>
          <w:color w:val="243962"/>
          <w:bdr w:val="none" w:sz="0" w:space="0" w:color="auto" w:frame="1"/>
          <w:shd w:val="clear" w:color="auto" w:fill="FFFFFF"/>
        </w:rPr>
        <w:t>?</w:t>
      </w:r>
    </w:p>
    <w:p w14:paraId="79C10A83" w14:textId="5FB9AFA8" w:rsidR="005D173C" w:rsidRDefault="001255FC" w:rsidP="00CF6E86">
      <w:pPr>
        <w:rPr>
          <w:rFonts w:ascii="Muli" w:hAnsi="Muli"/>
        </w:rPr>
      </w:pPr>
      <w:r>
        <w:rPr>
          <w:rFonts w:ascii="Muli" w:hAnsi="Muli"/>
        </w:rPr>
        <w:t>E</w:t>
      </w:r>
      <w:r w:rsidR="00CF6E86">
        <w:rPr>
          <w:rFonts w:ascii="Muli" w:hAnsi="Muli"/>
        </w:rPr>
        <w:t xml:space="preserve">n lo que se refiere a </w:t>
      </w:r>
      <w:r w:rsidR="00893997">
        <w:rPr>
          <w:rFonts w:ascii="Muli" w:hAnsi="Muli"/>
        </w:rPr>
        <w:t>nuevas hipotecas</w:t>
      </w:r>
      <w:r>
        <w:rPr>
          <w:rFonts w:ascii="Muli" w:hAnsi="Muli"/>
        </w:rPr>
        <w:t>,</w:t>
      </w:r>
      <w:r w:rsidR="00CF6E86">
        <w:rPr>
          <w:rFonts w:ascii="Muli" w:hAnsi="Muli"/>
        </w:rPr>
        <w:t xml:space="preserve"> estamos viendo tipos de interés muy competitivos después de los ajustes aplicados en enero por las entidades. Eso sí, “este mes de febrero hemos visto más estabilidad, sin muchos ajustes, y los que se han producido han sido poco significativos”, </w:t>
      </w:r>
      <w:r w:rsidR="003E0A48">
        <w:rPr>
          <w:rFonts w:ascii="Muli" w:hAnsi="Muli"/>
        </w:rPr>
        <w:t xml:space="preserve">comenta </w:t>
      </w:r>
      <w:r w:rsidR="00B572B5">
        <w:rPr>
          <w:rFonts w:ascii="Muli" w:hAnsi="Muli"/>
        </w:rPr>
        <w:t>Simone Colombelli</w:t>
      </w:r>
      <w:r w:rsidR="003E0A48">
        <w:rPr>
          <w:rFonts w:ascii="Muli" w:hAnsi="Muli"/>
        </w:rPr>
        <w:t>.</w:t>
      </w:r>
    </w:p>
    <w:p w14:paraId="7D0E2A31" w14:textId="35087BC0" w:rsidR="003A64A4" w:rsidRDefault="0010344E" w:rsidP="00CF6E86">
      <w:pPr>
        <w:rPr>
          <w:rFonts w:ascii="Muli" w:hAnsi="Muli"/>
        </w:rPr>
      </w:pPr>
      <w:r>
        <w:rPr>
          <w:rFonts w:ascii="Muli" w:hAnsi="Muli"/>
        </w:rPr>
        <w:t xml:space="preserve">Por ejemplo, </w:t>
      </w:r>
      <w:r w:rsidR="003A64A4">
        <w:rPr>
          <w:rFonts w:ascii="Muli" w:hAnsi="Muli"/>
        </w:rPr>
        <w:t>“</w:t>
      </w:r>
      <w:r>
        <w:rPr>
          <w:rFonts w:ascii="Muli" w:hAnsi="Muli"/>
        </w:rPr>
        <w:t>e</w:t>
      </w:r>
      <w:r w:rsidR="003A64A4">
        <w:rPr>
          <w:rFonts w:ascii="Muli" w:hAnsi="Muli"/>
        </w:rPr>
        <w:t>n iAhorro estamos viendo que</w:t>
      </w:r>
      <w:r w:rsidR="00230783">
        <w:rPr>
          <w:rFonts w:ascii="Muli" w:hAnsi="Muli"/>
        </w:rPr>
        <w:t>, a través de nuestro canal,</w:t>
      </w:r>
      <w:r w:rsidR="003A64A4">
        <w:rPr>
          <w:rFonts w:ascii="Muli" w:hAnsi="Muli"/>
        </w:rPr>
        <w:t xml:space="preserve"> </w:t>
      </w:r>
      <w:r w:rsidR="00230783">
        <w:rPr>
          <w:rFonts w:ascii="Muli" w:hAnsi="Muli"/>
        </w:rPr>
        <w:t>las personas que tienen un perfil top pueden llegar a optar a hipotecas</w:t>
      </w:r>
      <w:r w:rsidR="00734D2A">
        <w:rPr>
          <w:rFonts w:ascii="Muli" w:hAnsi="Muli"/>
        </w:rPr>
        <w:t xml:space="preserve"> fijas con un tipo de interés </w:t>
      </w:r>
      <w:r w:rsidR="00424454">
        <w:rPr>
          <w:rFonts w:ascii="Muli" w:hAnsi="Muli"/>
        </w:rPr>
        <w:t xml:space="preserve">que se sitúe alrededor del 2% TIN o incluso algo por debajo y quien tenga un perfil más normal podría conseguir una hipoteca fija en torno al 2,3 o 2,5% TIN; </w:t>
      </w:r>
      <w:r w:rsidR="00A0657E">
        <w:rPr>
          <w:rFonts w:ascii="Muli" w:hAnsi="Muli"/>
        </w:rPr>
        <w:t xml:space="preserve">que siguen siendo </w:t>
      </w:r>
      <w:r w:rsidR="00424454">
        <w:rPr>
          <w:rFonts w:ascii="Muli" w:hAnsi="Muli"/>
        </w:rPr>
        <w:t xml:space="preserve">muy buenos productos”, señala </w:t>
      </w:r>
      <w:r w:rsidR="00B572B5">
        <w:rPr>
          <w:rFonts w:ascii="Muli" w:hAnsi="Muli"/>
        </w:rPr>
        <w:t xml:space="preserve">el director de Hipotecas del comparador y asesor hipotecario líder en España, que matiza que “con perfil top nos referimos a personas con una buena estabilidad económica y laboral, que tengan unos ingresos superiores a 4.000 euros netos mensuales (la unidad familiar) y </w:t>
      </w:r>
      <w:r w:rsidR="00C26BA1">
        <w:rPr>
          <w:rFonts w:ascii="Muli" w:hAnsi="Muli"/>
        </w:rPr>
        <w:t>cuyo ratio de endeudamiento no supere el 30%”.</w:t>
      </w:r>
    </w:p>
    <w:p w14:paraId="4D6966CD" w14:textId="3C645227" w:rsidR="00C26BA1" w:rsidRDefault="007F42B8" w:rsidP="00CF6E86">
      <w:pPr>
        <w:rPr>
          <w:rFonts w:ascii="Muli" w:hAnsi="Muli"/>
        </w:rPr>
      </w:pPr>
      <w:r>
        <w:rPr>
          <w:rFonts w:ascii="Muli" w:hAnsi="Muli"/>
        </w:rPr>
        <w:t>Sobre</w:t>
      </w:r>
      <w:r w:rsidR="00C26BA1">
        <w:rPr>
          <w:rFonts w:ascii="Muli" w:hAnsi="Muli"/>
        </w:rPr>
        <w:t xml:space="preserve"> las hipotecas mixtas, Colombelli </w:t>
      </w:r>
      <w:r w:rsidR="002E051E">
        <w:rPr>
          <w:rFonts w:ascii="Muli" w:hAnsi="Muli"/>
        </w:rPr>
        <w:t>afirma</w:t>
      </w:r>
      <w:r w:rsidR="00C26BA1">
        <w:rPr>
          <w:rFonts w:ascii="Muli" w:hAnsi="Muli"/>
        </w:rPr>
        <w:t xml:space="preserve"> que </w:t>
      </w:r>
      <w:r>
        <w:rPr>
          <w:rFonts w:ascii="Muli" w:hAnsi="Muli"/>
        </w:rPr>
        <w:t xml:space="preserve">su tipo de interés </w:t>
      </w:r>
      <w:r w:rsidR="00C26BA1">
        <w:rPr>
          <w:rFonts w:ascii="Muli" w:hAnsi="Muli"/>
        </w:rPr>
        <w:t xml:space="preserve">“ya roza el 1% TIN </w:t>
      </w:r>
      <w:r w:rsidR="002E051E">
        <w:rPr>
          <w:rFonts w:ascii="Muli" w:hAnsi="Muli"/>
        </w:rPr>
        <w:t>durante</w:t>
      </w:r>
      <w:r w:rsidR="00C26BA1">
        <w:rPr>
          <w:rFonts w:ascii="Muli" w:hAnsi="Muli"/>
        </w:rPr>
        <w:t xml:space="preserve"> los primeros </w:t>
      </w:r>
      <w:r w:rsidR="006B6577">
        <w:rPr>
          <w:rFonts w:ascii="Muli" w:hAnsi="Muli"/>
        </w:rPr>
        <w:t xml:space="preserve">3 o 5 </w:t>
      </w:r>
      <w:r w:rsidR="00C26BA1">
        <w:rPr>
          <w:rFonts w:ascii="Muli" w:hAnsi="Muli"/>
        </w:rPr>
        <w:t xml:space="preserve">años del préstamo (la parte fija) </w:t>
      </w:r>
      <w:r w:rsidR="00AF5AA5">
        <w:rPr>
          <w:rFonts w:ascii="Muli" w:hAnsi="Muli"/>
        </w:rPr>
        <w:t xml:space="preserve">para los mejores clientes”, por lo que siguen siendo </w:t>
      </w:r>
      <w:r w:rsidR="002E051E">
        <w:rPr>
          <w:rFonts w:ascii="Muli" w:hAnsi="Muli"/>
        </w:rPr>
        <w:t>el</w:t>
      </w:r>
      <w:r w:rsidR="00AF5AA5">
        <w:rPr>
          <w:rFonts w:ascii="Muli" w:hAnsi="Muli"/>
        </w:rPr>
        <w:t xml:space="preserve"> más atractivo del mercado. ¿Hasta cuándo se mantendrán así? </w:t>
      </w:r>
      <w:r w:rsidR="002E051E">
        <w:rPr>
          <w:rFonts w:ascii="Muli" w:hAnsi="Muli"/>
        </w:rPr>
        <w:t xml:space="preserve">“2025 esperamos que sea el año de la recuperación de la hipoteca fija, que es la que, de primeras, la mayoría de los usuarios quieren. Lo que pasa que todavía la hipoteca mixta está más barata y, por eso, finalmente se decantan por ella. No obstante, si siguen bajando los tipos de interés de las fijas iremos viendo cómo, poco a poco, van ganando cuota de mercado a lo largo de este año en detrimento de la mixta”, </w:t>
      </w:r>
      <w:r>
        <w:rPr>
          <w:rFonts w:ascii="Muli" w:hAnsi="Muli"/>
        </w:rPr>
        <w:t>declara el portavoz de iAhorro.</w:t>
      </w:r>
    </w:p>
    <w:p w14:paraId="11FEF1B2" w14:textId="77777777" w:rsidR="005D173C" w:rsidRDefault="005D173C" w:rsidP="005D173C">
      <w:pPr>
        <w:ind w:left="708" w:hanging="708"/>
        <w:rPr>
          <w:rFonts w:ascii="Muli" w:hAnsi="Muli"/>
        </w:rPr>
      </w:pPr>
      <w:r>
        <w:rPr>
          <w:rFonts w:ascii="Montserrat" w:hAnsi="Montserrat"/>
          <w:b/>
          <w:bCs/>
          <w:color w:val="243962"/>
          <w:bdr w:val="none" w:sz="0" w:space="0" w:color="auto" w:frame="1"/>
          <w:shd w:val="clear" w:color="auto" w:fill="FFFFFF"/>
        </w:rPr>
        <w:t>¿Qué pasará este 2025 con el euríbor?</w:t>
      </w:r>
    </w:p>
    <w:p w14:paraId="7C8AF408" w14:textId="6A240359" w:rsidR="005D173C" w:rsidRDefault="005D173C" w:rsidP="005D173C">
      <w:pPr>
        <w:rPr>
          <w:rFonts w:ascii="Muli" w:hAnsi="Muli"/>
        </w:rPr>
      </w:pPr>
      <w:r>
        <w:rPr>
          <w:rFonts w:ascii="Muli" w:hAnsi="Muli"/>
        </w:rPr>
        <w:t xml:space="preserve">“A lo largo de este año seguramente veamos bajadas del euríbor mucho menos pronunciadas que las que hemos visto en la segunda parte de 2024. No obstante, aunque esta tendencia a la baja se mantendrá estable, también podemos ver alguna que otra pequeña subida que no influirá demasiado en el mercado, como la experimentada en enero”, reitera el </w:t>
      </w:r>
      <w:r w:rsidR="003E0A48">
        <w:rPr>
          <w:rFonts w:ascii="Muli" w:hAnsi="Muli"/>
        </w:rPr>
        <w:t>director de Hipotecas de iAhorro</w:t>
      </w:r>
      <w:r>
        <w:rPr>
          <w:rFonts w:ascii="Muli" w:hAnsi="Muli"/>
        </w:rPr>
        <w:t xml:space="preserve">, que </w:t>
      </w:r>
      <w:r w:rsidR="003E0A48">
        <w:rPr>
          <w:rFonts w:ascii="Muli" w:hAnsi="Muli"/>
        </w:rPr>
        <w:t xml:space="preserve">también </w:t>
      </w:r>
      <w:r>
        <w:rPr>
          <w:rFonts w:ascii="Muli" w:hAnsi="Muli"/>
        </w:rPr>
        <w:t>matiza que “las decisiones que tome el Banco Central Europeo (BCE) en sus reuniones influirán mucho en el avance del índice de referencia”.</w:t>
      </w:r>
    </w:p>
    <w:p w14:paraId="78FC69BA" w14:textId="77777777" w:rsidR="000E7E7F" w:rsidRDefault="005D173C" w:rsidP="005D173C">
      <w:pPr>
        <w:rPr>
          <w:rFonts w:ascii="Muli" w:hAnsi="Muli"/>
        </w:rPr>
      </w:pPr>
      <w:r>
        <w:rPr>
          <w:rFonts w:ascii="Muli" w:hAnsi="Muli"/>
        </w:rPr>
        <w:t xml:space="preserve">Por ahora, el Banco Central Europeo mantiene los tipos de interés oficiales en el 2,75%, a tan solo tres décimas y media del nivel en el que se encuentra el euríbor. Esta distancia, matiza Colombelli, “es normal y suficiente para tener un panorama económico positivo, aunque ya nos habían acostumbrado ambos indicadores a ver al menos medio punto de diferencia entre uno y otro”. De que aumente o no ese trecho depende la decisión de tome el BCE en su próxima reunión, prevista para dentro de una semana, para el día 6 de marzo. En ella podrían pasar dos cosas: que mantuviera los tipos de interés oficiales como están o que se produjera una nueva reducción de 25 puntos básicos, hasta situarlos en el 2,5%. </w:t>
      </w:r>
    </w:p>
    <w:p w14:paraId="1A806185" w14:textId="69F18824" w:rsidR="009204BB" w:rsidRDefault="00AE2915" w:rsidP="005D173C">
      <w:pPr>
        <w:rPr>
          <w:rFonts w:ascii="Muli" w:hAnsi="Muli"/>
        </w:rPr>
      </w:pPr>
      <w:r>
        <w:rPr>
          <w:rFonts w:ascii="Muli" w:hAnsi="Muli"/>
          <w:noProof/>
        </w:rPr>
        <w:drawing>
          <wp:inline distT="0" distB="0" distL="0" distR="0" wp14:anchorId="7200C27D" wp14:editId="1DC62C1C">
            <wp:extent cx="5400040" cy="2910840"/>
            <wp:effectExtent l="0" t="0" r="0" b="3810"/>
            <wp:docPr id="1375968046" name="Imagen 2"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68046" name="Imagen 2" descr="Interfaz de usuario gráfica&#10;&#10;El contenido generado por IA puede ser incorrecto."/>
                    <pic:cNvPicPr/>
                  </pic:nvPicPr>
                  <pic:blipFill rotWithShape="1">
                    <a:blip r:embed="rId9">
                      <a:extLst>
                        <a:ext uri="{28A0092B-C50C-407E-A947-70E740481C1C}">
                          <a14:useLocalDpi xmlns:a14="http://schemas.microsoft.com/office/drawing/2010/main" val="0"/>
                        </a:ext>
                      </a:extLst>
                    </a:blip>
                    <a:srcRect b="4161"/>
                    <a:stretch/>
                  </pic:blipFill>
                  <pic:spPr bwMode="auto">
                    <a:xfrm>
                      <a:off x="0" y="0"/>
                      <a:ext cx="5400040" cy="2910840"/>
                    </a:xfrm>
                    <a:prstGeom prst="rect">
                      <a:avLst/>
                    </a:prstGeom>
                    <a:ln>
                      <a:noFill/>
                    </a:ln>
                    <a:extLst>
                      <a:ext uri="{53640926-AAD7-44D8-BBD7-CCE9431645EC}">
                        <a14:shadowObscured xmlns:a14="http://schemas.microsoft.com/office/drawing/2010/main"/>
                      </a:ext>
                    </a:extLst>
                  </pic:spPr>
                </pic:pic>
              </a:graphicData>
            </a:graphic>
          </wp:inline>
        </w:drawing>
      </w:r>
    </w:p>
    <w:p w14:paraId="79C0C3D9" w14:textId="3482D70A" w:rsidR="005D173C" w:rsidRDefault="000E7E7F" w:rsidP="005D173C">
      <w:pPr>
        <w:rPr>
          <w:rFonts w:ascii="Muli" w:hAnsi="Muli"/>
        </w:rPr>
      </w:pPr>
      <w:r>
        <w:rPr>
          <w:rFonts w:ascii="Muli" w:hAnsi="Muli"/>
        </w:rPr>
        <w:t xml:space="preserve">El director de Hipotecas de iAhorro espera “que </w:t>
      </w:r>
      <w:r w:rsidR="00C45B17">
        <w:rPr>
          <w:rFonts w:ascii="Muli" w:hAnsi="Muli"/>
        </w:rPr>
        <w:t>los tipos de interés que controla el BCE sigan bajando y lleguen a situarse este año en un entorno del 2%</w:t>
      </w:r>
      <w:r w:rsidR="00E73CF9">
        <w:rPr>
          <w:rFonts w:ascii="Muli" w:hAnsi="Muli"/>
        </w:rPr>
        <w:t xml:space="preserve">. De este modo, </w:t>
      </w:r>
      <w:r w:rsidR="00C45B17">
        <w:rPr>
          <w:rFonts w:ascii="Muli" w:hAnsi="Muli"/>
        </w:rPr>
        <w:t xml:space="preserve">la semana que viene </w:t>
      </w:r>
      <w:r w:rsidR="00E73CF9">
        <w:rPr>
          <w:rFonts w:ascii="Muli" w:hAnsi="Muli"/>
        </w:rPr>
        <w:t xml:space="preserve">Christine Lagarde podría anunciar </w:t>
      </w:r>
      <w:r w:rsidR="00C45B17">
        <w:rPr>
          <w:rFonts w:ascii="Muli" w:hAnsi="Muli"/>
        </w:rPr>
        <w:t xml:space="preserve">esa bajada de 25 puntos básicos </w:t>
      </w:r>
      <w:r w:rsidR="00E73CF9">
        <w:rPr>
          <w:rFonts w:ascii="Muli" w:hAnsi="Muli"/>
        </w:rPr>
        <w:t xml:space="preserve">a la que ya nos tiene acostumbrados </w:t>
      </w:r>
      <w:r w:rsidR="00C45B17">
        <w:rPr>
          <w:rFonts w:ascii="Muli" w:hAnsi="Muli"/>
        </w:rPr>
        <w:t xml:space="preserve">y en abril quizás pausar un poco esta </w:t>
      </w:r>
      <w:r w:rsidR="00E73CF9">
        <w:rPr>
          <w:rFonts w:ascii="Muli" w:hAnsi="Muli"/>
        </w:rPr>
        <w:t>tendencia para continuar con ella durante la segunda parte del año</w:t>
      </w:r>
      <w:r w:rsidR="00F55BAE">
        <w:rPr>
          <w:rFonts w:ascii="Muli" w:hAnsi="Muli"/>
        </w:rPr>
        <w:t>, a partir del mes de junio (en mayo no está prevista ninguna reunión del organismo)</w:t>
      </w:r>
      <w:r w:rsidR="00E73CF9">
        <w:rPr>
          <w:rFonts w:ascii="Muli" w:hAnsi="Muli"/>
        </w:rPr>
        <w:t>”.</w:t>
      </w:r>
      <w:r>
        <w:rPr>
          <w:rFonts w:ascii="Muli" w:hAnsi="Muli"/>
        </w:rPr>
        <w:t xml:space="preserve"> </w:t>
      </w:r>
    </w:p>
    <w:p w14:paraId="54DC0347" w14:textId="77777777" w:rsidR="00086AD9" w:rsidRDefault="00086AD9">
      <w:pPr>
        <w:rPr>
          <w:rFonts w:ascii="Muli" w:hAnsi="Muli"/>
        </w:rPr>
      </w:pPr>
    </w:p>
    <w:p w14:paraId="1F80DF90" w14:textId="77777777" w:rsidR="00173927" w:rsidRDefault="00173927" w:rsidP="00173927">
      <w:pPr>
        <w:rPr>
          <w:rStyle w:val="contentpasted0"/>
          <w:rFonts w:ascii="Muli" w:hAnsi="Muli"/>
          <w:color w:val="000000"/>
          <w:lang w:val="es-ES_tradnl"/>
        </w:rPr>
      </w:pPr>
      <w:r>
        <w:rPr>
          <w:rStyle w:val="contentpasted0"/>
          <w:rFonts w:ascii="Muli" w:hAnsi="Muli"/>
          <w:b/>
          <w:bCs/>
          <w:color w:val="243962"/>
          <w:lang w:val="es-ES_tradnl"/>
        </w:rPr>
        <w:t>Si</w:t>
      </w:r>
      <w:r w:rsidRPr="0019551E">
        <w:rPr>
          <w:rStyle w:val="contentpasted0"/>
          <w:rFonts w:ascii="Muli" w:hAnsi="Muli"/>
          <w:b/>
          <w:bCs/>
          <w:color w:val="243962"/>
          <w:lang w:val="es-ES_tradnl"/>
        </w:rPr>
        <w:t xml:space="preserve"> necesita más información o declaraciones en formato audiovisual: </w:t>
      </w:r>
      <w:r w:rsidRPr="0019551E">
        <w:rPr>
          <w:rStyle w:val="contentpasted0"/>
          <w:rFonts w:ascii="Muli" w:hAnsi="Muli"/>
          <w:color w:val="000000"/>
          <w:lang w:val="es-ES_tradnl"/>
        </w:rPr>
        <w:t>Póngase en contacto con el departamento de Comunicación. </w:t>
      </w:r>
    </w:p>
    <w:p w14:paraId="2E0D59B3" w14:textId="77777777" w:rsidR="00173927" w:rsidRDefault="00173927" w:rsidP="00173927">
      <w:pPr>
        <w:rPr>
          <w:rStyle w:val="contentpasted0"/>
          <w:rFonts w:ascii="Muli" w:hAnsi="Muli"/>
          <w:color w:val="000000"/>
          <w:lang w:val="es-ES_tradnl"/>
        </w:rPr>
      </w:pPr>
    </w:p>
    <w:p w14:paraId="5136FF51" w14:textId="77777777" w:rsidR="00173927" w:rsidRDefault="00173927" w:rsidP="00173927">
      <w:pPr>
        <w:rPr>
          <w:rFonts w:ascii="Muli" w:hAnsi="Muli"/>
          <w:b/>
          <w:color w:val="243962"/>
          <w:lang w:val="es-ES_tradnl"/>
        </w:rPr>
      </w:pPr>
      <w:r>
        <w:rPr>
          <w:rFonts w:ascii="Muli" w:hAnsi="Muli"/>
          <w:b/>
          <w:color w:val="243962"/>
          <w:lang w:val="es-ES_tradnl"/>
        </w:rPr>
        <w:t xml:space="preserve">Sobre iAhorro </w:t>
      </w:r>
    </w:p>
    <w:p w14:paraId="45EDB7B8" w14:textId="77777777" w:rsidR="00173927" w:rsidRDefault="00173927" w:rsidP="00173927">
      <w:pPr>
        <w:rPr>
          <w:rFonts w:ascii="Muli" w:hAnsi="Muli"/>
        </w:rPr>
      </w:pPr>
      <w:r>
        <w:rPr>
          <w:rFonts w:ascii="Muli" w:hAnsi="Muli"/>
        </w:rPr>
        <w:t>iAhorro es el asesor hipotecario líder en España. El objetivo de la empresa es ayudar a los usuarios a contratar las hipotecas que mejor se adapten a sus necesidades.</w:t>
      </w:r>
    </w:p>
    <w:p w14:paraId="4BADD9E5" w14:textId="77777777" w:rsidR="00173927" w:rsidRDefault="00173927" w:rsidP="00173927">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678D0E0A" w14:textId="77777777" w:rsidR="00173927" w:rsidRDefault="00173927" w:rsidP="00173927">
      <w:pPr>
        <w:rPr>
          <w:rFonts w:ascii="Muli" w:hAnsi="Muli"/>
        </w:rPr>
      </w:pPr>
      <w:r>
        <w:rPr>
          <w:rFonts w:ascii="Muli" w:hAnsi="Muli"/>
        </w:rPr>
        <w:t xml:space="preserve">Fundado en 1974 con sede en Madrid, Grupo BC es el proveedor líder de servicios y software para la gestión hipotecaria, intermediación hipotecaria online, soluciones 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29608C65" w14:textId="77777777" w:rsidR="00173927" w:rsidRPr="00DD5BA3" w:rsidRDefault="00173927" w:rsidP="00173927">
      <w:pPr>
        <w:rPr>
          <w:rFonts w:ascii="Montserrat" w:hAnsi="Montserrat"/>
          <w:b/>
          <w:bCs/>
          <w:color w:val="243962"/>
        </w:rPr>
      </w:pPr>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p w14:paraId="6927309D" w14:textId="77777777" w:rsidR="00173927" w:rsidRDefault="00173927"/>
    <w:sectPr w:rsidR="00173927" w:rsidSect="00B977D0">
      <w:headerReference w:type="default" r:id="rId10"/>
      <w:footerReference w:type="default" r:id="rId11"/>
      <w:pgSz w:w="11906" w:h="16838"/>
      <w:pgMar w:top="1525" w:right="1701" w:bottom="1417"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D8CB" w14:textId="77777777" w:rsidR="00B7114E" w:rsidRDefault="00B7114E" w:rsidP="00173927">
      <w:pPr>
        <w:spacing w:after="0" w:line="240" w:lineRule="auto"/>
      </w:pPr>
      <w:r>
        <w:separator/>
      </w:r>
    </w:p>
  </w:endnote>
  <w:endnote w:type="continuationSeparator" w:id="0">
    <w:p w14:paraId="18609A02" w14:textId="77777777" w:rsidR="00B7114E" w:rsidRDefault="00B7114E" w:rsidP="00173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56"/>
      <w:gridCol w:w="2556"/>
    </w:tblGrid>
    <w:tr w:rsidR="00173927" w:rsidRPr="00B34F7A" w14:paraId="4E4EB48E" w14:textId="77777777" w:rsidTr="00244FE5">
      <w:trPr>
        <w:trHeight w:val="132"/>
      </w:trPr>
      <w:tc>
        <w:tcPr>
          <w:tcW w:w="1980" w:type="dxa"/>
          <w:vAlign w:val="center"/>
        </w:tcPr>
        <w:p w14:paraId="4BCE6260" w14:textId="77777777" w:rsidR="00173927" w:rsidRDefault="00173927" w:rsidP="00173927">
          <w:pPr>
            <w:pStyle w:val="Piedepgina"/>
            <w:tabs>
              <w:tab w:val="clear" w:pos="4252"/>
              <w:tab w:val="clear" w:pos="8504"/>
              <w:tab w:val="left" w:pos="1036"/>
            </w:tabs>
            <w:rPr>
              <w:b/>
              <w:sz w:val="18"/>
              <w:szCs w:val="18"/>
            </w:rPr>
          </w:pPr>
          <w:r>
            <w:rPr>
              <w:noProof/>
            </w:rPr>
            <w:drawing>
              <wp:inline distT="0" distB="0" distL="0" distR="0" wp14:anchorId="3C71899F" wp14:editId="6AB97106">
                <wp:extent cx="1041991" cy="493123"/>
                <wp:effectExtent l="0" t="0" r="0" b="0"/>
                <wp:docPr id="42289635" name="Gráfico 4228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556" w:type="dxa"/>
          <w:vAlign w:val="center"/>
        </w:tcPr>
        <w:p w14:paraId="47A0E879" w14:textId="77777777" w:rsidR="00173927" w:rsidRDefault="00173927" w:rsidP="00173927">
          <w:pPr>
            <w:pStyle w:val="Piedepgina"/>
            <w:tabs>
              <w:tab w:val="clear" w:pos="4252"/>
              <w:tab w:val="clear" w:pos="8504"/>
              <w:tab w:val="left" w:pos="1036"/>
            </w:tabs>
            <w:rPr>
              <w:b/>
              <w:sz w:val="18"/>
              <w:szCs w:val="18"/>
            </w:rPr>
          </w:pPr>
        </w:p>
        <w:p w14:paraId="03033D82" w14:textId="77777777" w:rsidR="00173927" w:rsidRPr="00204B1C" w:rsidRDefault="00173927" w:rsidP="00173927">
          <w:pPr>
            <w:pStyle w:val="Piedepgina"/>
            <w:tabs>
              <w:tab w:val="clear" w:pos="4252"/>
              <w:tab w:val="clear" w:pos="8504"/>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2E5B45A5" w14:textId="77777777" w:rsidR="00173927" w:rsidRPr="00204B1C" w:rsidRDefault="00173927" w:rsidP="00173927">
          <w:pPr>
            <w:pStyle w:val="Piedepgina"/>
            <w:tabs>
              <w:tab w:val="clear" w:pos="4252"/>
              <w:tab w:val="clear" w:pos="8504"/>
              <w:tab w:val="left" w:pos="1036"/>
            </w:tabs>
            <w:rPr>
              <w:b/>
              <w:sz w:val="18"/>
              <w:szCs w:val="18"/>
            </w:rPr>
          </w:pPr>
        </w:p>
      </w:tc>
      <w:tc>
        <w:tcPr>
          <w:tcW w:w="2556" w:type="dxa"/>
          <w:vAlign w:val="center"/>
        </w:tcPr>
        <w:p w14:paraId="7E8BA53B" w14:textId="77777777" w:rsidR="00173927" w:rsidRPr="00B34F7A" w:rsidRDefault="00173927" w:rsidP="00173927">
          <w:pPr>
            <w:pStyle w:val="Piedepgina"/>
            <w:tabs>
              <w:tab w:val="clear" w:pos="4252"/>
              <w:tab w:val="clear" w:pos="8504"/>
              <w:tab w:val="left" w:pos="1036"/>
            </w:tabs>
            <w:rPr>
              <w:b/>
              <w:sz w:val="18"/>
              <w:szCs w:val="18"/>
              <w:lang w:val="pt-PT"/>
            </w:rPr>
          </w:pPr>
          <w:r w:rsidRPr="00B34F7A">
            <w:rPr>
              <w:b/>
              <w:sz w:val="18"/>
              <w:szCs w:val="18"/>
              <w:lang w:val="pt-PT"/>
            </w:rPr>
            <w:t>Noelia Pérez</w:t>
          </w:r>
          <w:r w:rsidRPr="00B34F7A">
            <w:rPr>
              <w:sz w:val="18"/>
              <w:szCs w:val="18"/>
              <w:lang w:val="pt-PT"/>
            </w:rPr>
            <w:t xml:space="preserve"> – 6</w:t>
          </w:r>
          <w:r>
            <w:rPr>
              <w:sz w:val="18"/>
              <w:szCs w:val="18"/>
              <w:lang w:val="pt-PT"/>
            </w:rPr>
            <w:t>53</w:t>
          </w:r>
          <w:r w:rsidRPr="00B34F7A">
            <w:rPr>
              <w:sz w:val="18"/>
              <w:szCs w:val="18"/>
              <w:lang w:val="pt-PT"/>
            </w:rPr>
            <w:t xml:space="preserve"> </w:t>
          </w:r>
          <w:r>
            <w:rPr>
              <w:sz w:val="18"/>
              <w:szCs w:val="18"/>
              <w:lang w:val="pt-PT"/>
            </w:rPr>
            <w:t>247</w:t>
          </w:r>
          <w:r w:rsidRPr="00B34F7A">
            <w:rPr>
              <w:sz w:val="18"/>
              <w:szCs w:val="18"/>
              <w:lang w:val="pt-PT"/>
            </w:rPr>
            <w:t xml:space="preserve"> </w:t>
          </w:r>
          <w:r>
            <w:rPr>
              <w:sz w:val="18"/>
              <w:szCs w:val="18"/>
              <w:lang w:val="pt-PT"/>
            </w:rPr>
            <w:t>16</w:t>
          </w:r>
          <w:r w:rsidRPr="00B34F7A">
            <w:rPr>
              <w:sz w:val="18"/>
              <w:szCs w:val="18"/>
              <w:lang w:val="pt-PT"/>
            </w:rPr>
            <w:t>7</w:t>
          </w:r>
          <w:r w:rsidRPr="00B34F7A">
            <w:rPr>
              <w:sz w:val="18"/>
              <w:szCs w:val="18"/>
              <w:lang w:val="pt-PT"/>
            </w:rPr>
            <w:br/>
          </w:r>
          <w:hyperlink r:id="rId4" w:history="1">
            <w:r w:rsidRPr="00C3103F">
              <w:rPr>
                <w:rStyle w:val="Hipervnculo"/>
                <w:sz w:val="18"/>
                <w:szCs w:val="18"/>
                <w:lang w:val="pt-PT"/>
              </w:rPr>
              <w:t>noelia.perez@iahorro.com</w:t>
            </w:r>
          </w:hyperlink>
        </w:p>
      </w:tc>
    </w:tr>
  </w:tbl>
  <w:p w14:paraId="3E1493BB" w14:textId="77777777" w:rsidR="00173927" w:rsidRDefault="0017392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215BC" w14:textId="77777777" w:rsidR="00B7114E" w:rsidRDefault="00B7114E" w:rsidP="00173927">
      <w:pPr>
        <w:spacing w:after="0" w:line="240" w:lineRule="auto"/>
      </w:pPr>
      <w:r>
        <w:separator/>
      </w:r>
    </w:p>
  </w:footnote>
  <w:footnote w:type="continuationSeparator" w:id="0">
    <w:p w14:paraId="356537A7" w14:textId="77777777" w:rsidR="00B7114E" w:rsidRDefault="00B7114E" w:rsidP="00173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CF22" w14:textId="147EB12B" w:rsidR="00173927" w:rsidRDefault="00173927" w:rsidP="00861FB4">
    <w:pPr>
      <w:pStyle w:val="Encabezado"/>
      <w:tabs>
        <w:tab w:val="clear" w:pos="4252"/>
        <w:tab w:val="clear" w:pos="8504"/>
        <w:tab w:val="left" w:pos="3415"/>
        <w:tab w:val="left" w:pos="3492"/>
      </w:tabs>
    </w:pPr>
    <w:r w:rsidRPr="00942871">
      <w:rPr>
        <w:noProof/>
      </w:rPr>
      <w:drawing>
        <wp:anchor distT="0" distB="0" distL="114300" distR="114300" simplePos="0" relativeHeight="251659264" behindDoc="0" locked="0" layoutInCell="1" allowOverlap="1" wp14:anchorId="0C17454A" wp14:editId="73C9D5E3">
          <wp:simplePos x="0" y="0"/>
          <wp:positionH relativeFrom="margin">
            <wp:posOffset>4072890</wp:posOffset>
          </wp:positionH>
          <wp:positionV relativeFrom="topMargin">
            <wp:posOffset>333375</wp:posOffset>
          </wp:positionV>
          <wp:extent cx="1509395" cy="714375"/>
          <wp:effectExtent l="0" t="0" r="0" b="0"/>
          <wp:wrapSquare wrapText="bothSides"/>
          <wp:docPr id="621757066" name="Imagen 62175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211F5389" wp14:editId="49D4822A">
          <wp:extent cx="1945758" cy="921312"/>
          <wp:effectExtent l="0" t="0" r="0" b="0"/>
          <wp:docPr id="516178169" name="Gráfico 51617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F55E2"/>
    <w:multiLevelType w:val="hybridMultilevel"/>
    <w:tmpl w:val="1FDA7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927"/>
    <w:rsid w:val="00007B8A"/>
    <w:rsid w:val="0004551F"/>
    <w:rsid w:val="00045E48"/>
    <w:rsid w:val="00046F68"/>
    <w:rsid w:val="00066B9B"/>
    <w:rsid w:val="00086AD9"/>
    <w:rsid w:val="000A5BEB"/>
    <w:rsid w:val="000B144A"/>
    <w:rsid w:val="000E3672"/>
    <w:rsid w:val="000E7E7F"/>
    <w:rsid w:val="00101ED0"/>
    <w:rsid w:val="0010344E"/>
    <w:rsid w:val="001255FC"/>
    <w:rsid w:val="0014369C"/>
    <w:rsid w:val="0017250A"/>
    <w:rsid w:val="00173927"/>
    <w:rsid w:val="00184E2D"/>
    <w:rsid w:val="001B0765"/>
    <w:rsid w:val="001B0F85"/>
    <w:rsid w:val="001D1545"/>
    <w:rsid w:val="0022147F"/>
    <w:rsid w:val="0023010F"/>
    <w:rsid w:val="00230783"/>
    <w:rsid w:val="002529CD"/>
    <w:rsid w:val="00284C13"/>
    <w:rsid w:val="002850D3"/>
    <w:rsid w:val="002A0490"/>
    <w:rsid w:val="002D1CD4"/>
    <w:rsid w:val="002E051E"/>
    <w:rsid w:val="00313C67"/>
    <w:rsid w:val="003566C0"/>
    <w:rsid w:val="00374F53"/>
    <w:rsid w:val="00381D98"/>
    <w:rsid w:val="00392780"/>
    <w:rsid w:val="003A64A4"/>
    <w:rsid w:val="003E0A48"/>
    <w:rsid w:val="003E27DF"/>
    <w:rsid w:val="003E3458"/>
    <w:rsid w:val="004023BD"/>
    <w:rsid w:val="00405F3B"/>
    <w:rsid w:val="00424454"/>
    <w:rsid w:val="0042726D"/>
    <w:rsid w:val="00452D36"/>
    <w:rsid w:val="00477C9B"/>
    <w:rsid w:val="0048707E"/>
    <w:rsid w:val="0048712E"/>
    <w:rsid w:val="004A0BC7"/>
    <w:rsid w:val="004B1654"/>
    <w:rsid w:val="004C38DD"/>
    <w:rsid w:val="004D5009"/>
    <w:rsid w:val="004D6625"/>
    <w:rsid w:val="004F7810"/>
    <w:rsid w:val="005075F0"/>
    <w:rsid w:val="00534CB8"/>
    <w:rsid w:val="00547ED0"/>
    <w:rsid w:val="00553C5E"/>
    <w:rsid w:val="005563CD"/>
    <w:rsid w:val="0056182D"/>
    <w:rsid w:val="00586B15"/>
    <w:rsid w:val="005B6DEE"/>
    <w:rsid w:val="005D173C"/>
    <w:rsid w:val="005F3755"/>
    <w:rsid w:val="00672070"/>
    <w:rsid w:val="006942C5"/>
    <w:rsid w:val="006A544D"/>
    <w:rsid w:val="006B6577"/>
    <w:rsid w:val="00734D2A"/>
    <w:rsid w:val="00763822"/>
    <w:rsid w:val="00764EE2"/>
    <w:rsid w:val="007F0485"/>
    <w:rsid w:val="007F42B8"/>
    <w:rsid w:val="00803760"/>
    <w:rsid w:val="00804E2F"/>
    <w:rsid w:val="00815C8E"/>
    <w:rsid w:val="00843A16"/>
    <w:rsid w:val="0084777E"/>
    <w:rsid w:val="00861FB4"/>
    <w:rsid w:val="00881A92"/>
    <w:rsid w:val="00893997"/>
    <w:rsid w:val="008A229E"/>
    <w:rsid w:val="008A2A9A"/>
    <w:rsid w:val="008B7B7E"/>
    <w:rsid w:val="008C6155"/>
    <w:rsid w:val="009069A1"/>
    <w:rsid w:val="00915568"/>
    <w:rsid w:val="009204BB"/>
    <w:rsid w:val="00937752"/>
    <w:rsid w:val="00974C65"/>
    <w:rsid w:val="009E5712"/>
    <w:rsid w:val="00A0657E"/>
    <w:rsid w:val="00A072C4"/>
    <w:rsid w:val="00A215B7"/>
    <w:rsid w:val="00A24571"/>
    <w:rsid w:val="00A41D41"/>
    <w:rsid w:val="00A42CC8"/>
    <w:rsid w:val="00A9418A"/>
    <w:rsid w:val="00AD01E5"/>
    <w:rsid w:val="00AE2915"/>
    <w:rsid w:val="00AF1F9F"/>
    <w:rsid w:val="00AF2EF1"/>
    <w:rsid w:val="00AF5AA5"/>
    <w:rsid w:val="00B3350B"/>
    <w:rsid w:val="00B572B5"/>
    <w:rsid w:val="00B7114E"/>
    <w:rsid w:val="00B977D0"/>
    <w:rsid w:val="00BD4815"/>
    <w:rsid w:val="00BE22AE"/>
    <w:rsid w:val="00C07E02"/>
    <w:rsid w:val="00C26BA1"/>
    <w:rsid w:val="00C45B17"/>
    <w:rsid w:val="00C45CD1"/>
    <w:rsid w:val="00C92637"/>
    <w:rsid w:val="00C96F93"/>
    <w:rsid w:val="00CA0CB7"/>
    <w:rsid w:val="00CD2738"/>
    <w:rsid w:val="00CF6E86"/>
    <w:rsid w:val="00D23A20"/>
    <w:rsid w:val="00D351F5"/>
    <w:rsid w:val="00D405AB"/>
    <w:rsid w:val="00D42048"/>
    <w:rsid w:val="00DA082B"/>
    <w:rsid w:val="00DB6008"/>
    <w:rsid w:val="00DE1CF1"/>
    <w:rsid w:val="00DF4A40"/>
    <w:rsid w:val="00E05C36"/>
    <w:rsid w:val="00E441D6"/>
    <w:rsid w:val="00E73CF9"/>
    <w:rsid w:val="00EE6CCB"/>
    <w:rsid w:val="00F150C8"/>
    <w:rsid w:val="00F322E6"/>
    <w:rsid w:val="00F55BAE"/>
    <w:rsid w:val="00FA2D99"/>
    <w:rsid w:val="00FC0DF1"/>
    <w:rsid w:val="00FC65EF"/>
    <w:rsid w:val="00FF00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13BFE"/>
  <w15:chartTrackingRefBased/>
  <w15:docId w15:val="{E733E7AE-6117-46C8-9A69-215039381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0D3"/>
  </w:style>
  <w:style w:type="paragraph" w:styleId="Ttulo1">
    <w:name w:val="heading 1"/>
    <w:basedOn w:val="Normal"/>
    <w:next w:val="Normal"/>
    <w:link w:val="Ttulo1Car"/>
    <w:uiPriority w:val="9"/>
    <w:qFormat/>
    <w:rsid w:val="00173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3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7392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392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7392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392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392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392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392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392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392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7392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392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7392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392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392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392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3927"/>
    <w:rPr>
      <w:rFonts w:eastAsiaTheme="majorEastAsia" w:cstheme="majorBidi"/>
      <w:color w:val="272727" w:themeColor="text1" w:themeTint="D8"/>
    </w:rPr>
  </w:style>
  <w:style w:type="paragraph" w:styleId="Ttulo">
    <w:name w:val="Title"/>
    <w:basedOn w:val="Normal"/>
    <w:next w:val="Normal"/>
    <w:link w:val="TtuloCar"/>
    <w:uiPriority w:val="10"/>
    <w:qFormat/>
    <w:rsid w:val="00173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392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392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392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3927"/>
    <w:pPr>
      <w:spacing w:before="160"/>
      <w:jc w:val="center"/>
    </w:pPr>
    <w:rPr>
      <w:i/>
      <w:iCs/>
      <w:color w:val="404040" w:themeColor="text1" w:themeTint="BF"/>
    </w:rPr>
  </w:style>
  <w:style w:type="character" w:customStyle="1" w:styleId="CitaCar">
    <w:name w:val="Cita Car"/>
    <w:basedOn w:val="Fuentedeprrafopredeter"/>
    <w:link w:val="Cita"/>
    <w:uiPriority w:val="29"/>
    <w:rsid w:val="00173927"/>
    <w:rPr>
      <w:i/>
      <w:iCs/>
      <w:color w:val="404040" w:themeColor="text1" w:themeTint="BF"/>
    </w:rPr>
  </w:style>
  <w:style w:type="paragraph" w:styleId="Prrafodelista">
    <w:name w:val="List Paragraph"/>
    <w:basedOn w:val="Normal"/>
    <w:uiPriority w:val="34"/>
    <w:qFormat/>
    <w:rsid w:val="00173927"/>
    <w:pPr>
      <w:ind w:left="720"/>
      <w:contextualSpacing/>
    </w:pPr>
  </w:style>
  <w:style w:type="character" w:styleId="nfasisintenso">
    <w:name w:val="Intense Emphasis"/>
    <w:basedOn w:val="Fuentedeprrafopredeter"/>
    <w:uiPriority w:val="21"/>
    <w:qFormat/>
    <w:rsid w:val="00173927"/>
    <w:rPr>
      <w:i/>
      <w:iCs/>
      <w:color w:val="0F4761" w:themeColor="accent1" w:themeShade="BF"/>
    </w:rPr>
  </w:style>
  <w:style w:type="paragraph" w:styleId="Citadestacada">
    <w:name w:val="Intense Quote"/>
    <w:basedOn w:val="Normal"/>
    <w:next w:val="Normal"/>
    <w:link w:val="CitadestacadaCar"/>
    <w:uiPriority w:val="30"/>
    <w:qFormat/>
    <w:rsid w:val="00173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3927"/>
    <w:rPr>
      <w:i/>
      <w:iCs/>
      <w:color w:val="0F4761" w:themeColor="accent1" w:themeShade="BF"/>
    </w:rPr>
  </w:style>
  <w:style w:type="character" w:styleId="Referenciaintensa">
    <w:name w:val="Intense Reference"/>
    <w:basedOn w:val="Fuentedeprrafopredeter"/>
    <w:uiPriority w:val="32"/>
    <w:qFormat/>
    <w:rsid w:val="00173927"/>
    <w:rPr>
      <w:b/>
      <w:bCs/>
      <w:smallCaps/>
      <w:color w:val="0F4761" w:themeColor="accent1" w:themeShade="BF"/>
      <w:spacing w:val="5"/>
    </w:rPr>
  </w:style>
  <w:style w:type="paragraph" w:styleId="Encabezado">
    <w:name w:val="header"/>
    <w:basedOn w:val="Normal"/>
    <w:link w:val="EncabezadoCar"/>
    <w:uiPriority w:val="99"/>
    <w:unhideWhenUsed/>
    <w:rsid w:val="0017392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3927"/>
  </w:style>
  <w:style w:type="paragraph" w:styleId="Piedepgina">
    <w:name w:val="footer"/>
    <w:basedOn w:val="Normal"/>
    <w:link w:val="PiedepginaCar"/>
    <w:uiPriority w:val="99"/>
    <w:unhideWhenUsed/>
    <w:rsid w:val="0017392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3927"/>
  </w:style>
  <w:style w:type="character" w:styleId="Hipervnculo">
    <w:name w:val="Hyperlink"/>
    <w:basedOn w:val="Fuentedeprrafopredeter"/>
    <w:uiPriority w:val="99"/>
    <w:unhideWhenUsed/>
    <w:rsid w:val="00173927"/>
    <w:rPr>
      <w:color w:val="0000FF"/>
      <w:u w:val="single"/>
    </w:rPr>
  </w:style>
  <w:style w:type="table" w:styleId="Tablaconcuadrcula">
    <w:name w:val="Table Grid"/>
    <w:basedOn w:val="Tablanormal"/>
    <w:uiPriority w:val="39"/>
    <w:rsid w:val="00173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Fuentedeprrafopredeter"/>
    <w:rsid w:val="0017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hyperlink" Target="mailto:noelia.perez@iahorr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5</Pages>
  <Words>1447</Words>
  <Characters>7962</Characters>
  <Application>Microsoft Office Word</Application>
  <DocSecurity>0</DocSecurity>
  <Lines>66</Lines>
  <Paragraphs>18</Paragraphs>
  <ScaleCrop>false</ScaleCrop>
  <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126</cp:revision>
  <dcterms:created xsi:type="dcterms:W3CDTF">2025-02-20T11:43:00Z</dcterms:created>
  <dcterms:modified xsi:type="dcterms:W3CDTF">2025-02-28T10:45:00Z</dcterms:modified>
</cp:coreProperties>
</file>