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C48D0" w14:textId="736FEF43" w:rsidR="00C5189B" w:rsidRPr="001C1B23" w:rsidRDefault="005517D3" w:rsidP="00C5189B">
      <w:pPr>
        <w:jc w:val="center"/>
        <w:rPr>
          <w:rFonts w:ascii="Muli" w:hAnsi="Muli" w:cstheme="minorHAnsi"/>
          <w:b/>
          <w:bCs/>
          <w:sz w:val="20"/>
          <w:szCs w:val="20"/>
        </w:rPr>
      </w:pPr>
      <w:r>
        <w:rPr>
          <w:rFonts w:ascii="Muli" w:hAnsi="Muli" w:cstheme="minorHAnsi"/>
          <w:b/>
          <w:bCs/>
          <w:sz w:val="20"/>
          <w:szCs w:val="20"/>
        </w:rPr>
        <w:t>El euríbor</w:t>
      </w:r>
      <w:r w:rsidR="00C5189B">
        <w:rPr>
          <w:rFonts w:ascii="Muli" w:hAnsi="Muli" w:cstheme="minorHAnsi"/>
          <w:b/>
          <w:bCs/>
          <w:sz w:val="20"/>
          <w:szCs w:val="20"/>
        </w:rPr>
        <w:t xml:space="preserve"> </w:t>
      </w:r>
      <w:r w:rsidR="00A15145">
        <w:rPr>
          <w:rFonts w:ascii="Muli" w:hAnsi="Muli" w:cstheme="minorHAnsi"/>
          <w:b/>
          <w:bCs/>
          <w:sz w:val="20"/>
          <w:szCs w:val="20"/>
        </w:rPr>
        <w:t>está en fase de estabilización</w:t>
      </w:r>
    </w:p>
    <w:p w14:paraId="44222AEE" w14:textId="4F6FD907" w:rsidR="00C5189B" w:rsidRPr="009016B3" w:rsidRDefault="00C5189B" w:rsidP="00C5189B">
      <w:pPr>
        <w:jc w:val="center"/>
        <w:rPr>
          <w:rFonts w:ascii="Montserrat" w:hAnsi="Montserrat"/>
          <w:b/>
          <w:color w:val="243962"/>
          <w:sz w:val="30"/>
          <w:szCs w:val="30"/>
        </w:rPr>
      </w:pPr>
      <w:r>
        <w:rPr>
          <w:rFonts w:ascii="Montserrat" w:hAnsi="Montserrat"/>
          <w:b/>
          <w:color w:val="243962"/>
          <w:sz w:val="30"/>
          <w:szCs w:val="30"/>
        </w:rPr>
        <w:t>El euríbor</w:t>
      </w:r>
      <w:r w:rsidR="000D6ACB">
        <w:rPr>
          <w:rFonts w:ascii="Montserrat" w:hAnsi="Montserrat"/>
          <w:b/>
          <w:color w:val="243962"/>
          <w:sz w:val="30"/>
          <w:szCs w:val="30"/>
        </w:rPr>
        <w:t xml:space="preserve"> baja de la barrera del 2,4% en marzo, pero el mercado hipotecario</w:t>
      </w:r>
      <w:r w:rsidR="00AD35BC">
        <w:rPr>
          <w:rFonts w:ascii="Montserrat" w:hAnsi="Montserrat"/>
          <w:b/>
          <w:color w:val="243962"/>
          <w:sz w:val="30"/>
          <w:szCs w:val="30"/>
        </w:rPr>
        <w:t xml:space="preserve"> sigue estable a la espera de nuevas decisiones del BCE</w:t>
      </w:r>
      <w:r>
        <w:rPr>
          <w:rFonts w:ascii="Montserrat" w:hAnsi="Montserrat"/>
          <w:b/>
          <w:color w:val="243962"/>
          <w:sz w:val="30"/>
          <w:szCs w:val="30"/>
        </w:rPr>
        <w:t xml:space="preserve"> </w:t>
      </w:r>
    </w:p>
    <w:p w14:paraId="6DD5BE5B" w14:textId="55BA52EA" w:rsidR="00C5189B" w:rsidRPr="00F52520" w:rsidRDefault="005517D3" w:rsidP="00C5189B">
      <w:pPr>
        <w:pStyle w:val="Prrafodelista"/>
        <w:numPr>
          <w:ilvl w:val="0"/>
          <w:numId w:val="1"/>
        </w:numPr>
        <w:spacing w:line="256" w:lineRule="auto"/>
        <w:ind w:left="567" w:hanging="207"/>
        <w:rPr>
          <w:rFonts w:ascii="Muli" w:hAnsi="Muli"/>
        </w:rPr>
      </w:pPr>
      <w:r w:rsidRPr="00F52520">
        <w:rPr>
          <w:rFonts w:ascii="Muli" w:hAnsi="Muli"/>
        </w:rPr>
        <w:t xml:space="preserve">El índice de referencia de las hipotecas variables registra una media mensual este mes de marzo del </w:t>
      </w:r>
      <w:r w:rsidR="00AD35BC" w:rsidRPr="00F52520">
        <w:rPr>
          <w:rFonts w:ascii="Muli" w:hAnsi="Muli"/>
        </w:rPr>
        <w:t>2,398</w:t>
      </w:r>
      <w:r w:rsidRPr="00F52520">
        <w:rPr>
          <w:rFonts w:ascii="Muli" w:hAnsi="Muli"/>
        </w:rPr>
        <w:t>%, un valor que está</w:t>
      </w:r>
      <w:r w:rsidR="001D49B7" w:rsidRPr="00F52520">
        <w:rPr>
          <w:rFonts w:ascii="Muli" w:hAnsi="Muli"/>
        </w:rPr>
        <w:t xml:space="preserve"> tan solo</w:t>
      </w:r>
      <w:r w:rsidRPr="00F52520">
        <w:rPr>
          <w:rFonts w:ascii="Muli" w:hAnsi="Muli"/>
        </w:rPr>
        <w:t xml:space="preserve"> </w:t>
      </w:r>
      <w:r w:rsidR="00AD35BC" w:rsidRPr="00F52520">
        <w:rPr>
          <w:rFonts w:ascii="Muli" w:hAnsi="Muli"/>
        </w:rPr>
        <w:t>0,009</w:t>
      </w:r>
      <w:r w:rsidRPr="00F52520">
        <w:rPr>
          <w:rFonts w:ascii="Muli" w:hAnsi="Muli"/>
        </w:rPr>
        <w:t xml:space="preserve"> puntos porcentuales por </w:t>
      </w:r>
      <w:r w:rsidR="001D49B7" w:rsidRPr="00F52520">
        <w:rPr>
          <w:rFonts w:ascii="Muli" w:hAnsi="Muli"/>
        </w:rPr>
        <w:t>debajo</w:t>
      </w:r>
      <w:r w:rsidRPr="00F52520">
        <w:rPr>
          <w:rFonts w:ascii="Muli" w:hAnsi="Muli"/>
        </w:rPr>
        <w:t xml:space="preserve"> del registrado en febrero (2,407%). </w:t>
      </w:r>
    </w:p>
    <w:p w14:paraId="3BF4975B" w14:textId="52E666EF" w:rsidR="00C5189B" w:rsidRPr="00F52520" w:rsidRDefault="005517D3" w:rsidP="00C5189B">
      <w:pPr>
        <w:pStyle w:val="Prrafodelista"/>
        <w:numPr>
          <w:ilvl w:val="0"/>
          <w:numId w:val="1"/>
        </w:numPr>
        <w:spacing w:line="256" w:lineRule="auto"/>
        <w:ind w:left="567" w:hanging="207"/>
        <w:rPr>
          <w:rFonts w:ascii="Muli" w:hAnsi="Muli"/>
        </w:rPr>
      </w:pPr>
      <w:r w:rsidRPr="00F52520">
        <w:rPr>
          <w:rFonts w:ascii="Muli" w:hAnsi="Muli"/>
        </w:rPr>
        <w:t xml:space="preserve">Quien tenga que revisar la cuota de su hipoteca variable con el dato del euríbor de este mes verá como esta baja entre </w:t>
      </w:r>
      <w:r w:rsidR="00C95E57" w:rsidRPr="00F52520">
        <w:rPr>
          <w:rFonts w:ascii="Muli" w:hAnsi="Muli"/>
        </w:rPr>
        <w:t>1</w:t>
      </w:r>
      <w:r w:rsidR="00E46388" w:rsidRPr="00F52520">
        <w:rPr>
          <w:rFonts w:ascii="Muli" w:hAnsi="Muli"/>
        </w:rPr>
        <w:t>00</w:t>
      </w:r>
      <w:r w:rsidRPr="00F52520">
        <w:rPr>
          <w:rFonts w:ascii="Muli" w:hAnsi="Muli"/>
        </w:rPr>
        <w:t xml:space="preserve"> y </w:t>
      </w:r>
      <w:r w:rsidR="00C95E57" w:rsidRPr="00F52520">
        <w:rPr>
          <w:rFonts w:ascii="Muli" w:hAnsi="Muli"/>
        </w:rPr>
        <w:t>2</w:t>
      </w:r>
      <w:r w:rsidR="00E46388" w:rsidRPr="00F52520">
        <w:rPr>
          <w:rFonts w:ascii="Muli" w:hAnsi="Muli"/>
        </w:rPr>
        <w:t>0</w:t>
      </w:r>
      <w:r w:rsidR="00C95E57" w:rsidRPr="00F52520">
        <w:rPr>
          <w:rFonts w:ascii="Muli" w:hAnsi="Muli"/>
        </w:rPr>
        <w:t>0</w:t>
      </w:r>
      <w:r w:rsidRPr="00F52520">
        <w:rPr>
          <w:rFonts w:ascii="Muli" w:hAnsi="Muli"/>
        </w:rPr>
        <w:t xml:space="preserve"> euros cada mes, en función de la cuantía que le quede por pagar del préstamo.</w:t>
      </w:r>
    </w:p>
    <w:p w14:paraId="315F3FEC" w14:textId="01E447B4" w:rsidR="00C5189B" w:rsidRPr="00F52520" w:rsidRDefault="005517D3" w:rsidP="00C5189B">
      <w:pPr>
        <w:pStyle w:val="Prrafodelista"/>
        <w:numPr>
          <w:ilvl w:val="0"/>
          <w:numId w:val="1"/>
        </w:numPr>
        <w:spacing w:line="256" w:lineRule="auto"/>
        <w:ind w:left="567" w:hanging="207"/>
        <w:rPr>
          <w:rFonts w:ascii="Muli" w:hAnsi="Muli"/>
        </w:rPr>
      </w:pPr>
      <w:r w:rsidRPr="00F52520">
        <w:rPr>
          <w:rFonts w:ascii="Muli" w:hAnsi="Muli"/>
        </w:rPr>
        <w:t>“El euríbor está experimentando una clara fase de estabilización</w:t>
      </w:r>
      <w:r w:rsidR="00555228" w:rsidRPr="00F52520">
        <w:rPr>
          <w:rFonts w:ascii="Muli" w:hAnsi="Muli"/>
        </w:rPr>
        <w:t>, que es totalmente normal tras las caídas tan drásticas experimentadas hace unos meses y es positiva, viendo sobre todo de dónde venimos”, explica Simone Colombelli, director de Hipotecas del comparador hipotecario iAhorro.</w:t>
      </w:r>
    </w:p>
    <w:p w14:paraId="2E240D9D" w14:textId="77777777" w:rsidR="00C5189B" w:rsidRPr="003E27DF" w:rsidRDefault="00C5189B" w:rsidP="00C5189B">
      <w:pPr>
        <w:pStyle w:val="Prrafodelista"/>
        <w:spacing w:line="256" w:lineRule="auto"/>
        <w:ind w:left="567"/>
        <w:rPr>
          <w:rFonts w:ascii="Muli" w:hAnsi="Muli"/>
        </w:rPr>
      </w:pPr>
    </w:p>
    <w:p w14:paraId="382B0173" w14:textId="33234302" w:rsidR="00C5189B" w:rsidRPr="003E27DF" w:rsidRDefault="00C5189B" w:rsidP="00C5189B">
      <w:pPr>
        <w:spacing w:line="256" w:lineRule="auto"/>
        <w:rPr>
          <w:rFonts w:ascii="Muli" w:hAnsi="Muli"/>
        </w:rPr>
      </w:pPr>
      <w:r w:rsidRPr="003E27DF">
        <w:rPr>
          <w:rFonts w:ascii="Muli" w:hAnsi="Muli"/>
        </w:rPr>
        <w:t xml:space="preserve">Madrid, </w:t>
      </w:r>
      <w:r w:rsidR="003D3BAA">
        <w:rPr>
          <w:rFonts w:ascii="Muli" w:hAnsi="Muli"/>
        </w:rPr>
        <w:t>31</w:t>
      </w:r>
      <w:r w:rsidRPr="003E27DF">
        <w:rPr>
          <w:rFonts w:ascii="Muli" w:hAnsi="Muli"/>
        </w:rPr>
        <w:t xml:space="preserve"> de </w:t>
      </w:r>
      <w:r>
        <w:rPr>
          <w:rFonts w:ascii="Muli" w:hAnsi="Muli"/>
        </w:rPr>
        <w:t>marzo</w:t>
      </w:r>
      <w:r w:rsidRPr="003E27DF">
        <w:rPr>
          <w:rFonts w:ascii="Muli" w:hAnsi="Muli"/>
        </w:rPr>
        <w:t xml:space="preserve"> de 2025</w:t>
      </w:r>
    </w:p>
    <w:p w14:paraId="023B6566" w14:textId="16DA8A18" w:rsidR="00C5189B" w:rsidRPr="00F52520" w:rsidRDefault="00DC747C" w:rsidP="00975CC7">
      <w:pPr>
        <w:tabs>
          <w:tab w:val="left" w:pos="6379"/>
        </w:tabs>
        <w:spacing w:line="256" w:lineRule="auto"/>
        <w:rPr>
          <w:rFonts w:ascii="Muli" w:hAnsi="Muli"/>
        </w:rPr>
      </w:pPr>
      <w:r w:rsidRPr="00F52520">
        <w:rPr>
          <w:rFonts w:ascii="Muli" w:hAnsi="Muli"/>
        </w:rPr>
        <w:t xml:space="preserve">El euríbor </w:t>
      </w:r>
      <w:r w:rsidR="00975CC7" w:rsidRPr="00F52520">
        <w:rPr>
          <w:rFonts w:ascii="Muli" w:hAnsi="Muli"/>
        </w:rPr>
        <w:t>registra</w:t>
      </w:r>
      <w:r w:rsidR="00FC7F99" w:rsidRPr="00F52520">
        <w:rPr>
          <w:rFonts w:ascii="Muli" w:hAnsi="Muli"/>
        </w:rPr>
        <w:t xml:space="preserve"> en marzo</w:t>
      </w:r>
      <w:r w:rsidR="00975CC7" w:rsidRPr="00F52520">
        <w:rPr>
          <w:rFonts w:ascii="Muli" w:hAnsi="Muli"/>
        </w:rPr>
        <w:t xml:space="preserve"> una nueva, aunque muy leve, </w:t>
      </w:r>
      <w:r w:rsidR="00E82CB0" w:rsidRPr="00F52520">
        <w:rPr>
          <w:rFonts w:ascii="Muli" w:hAnsi="Muli"/>
        </w:rPr>
        <w:t>bajada</w:t>
      </w:r>
      <w:r w:rsidR="00975CC7" w:rsidRPr="00F52520">
        <w:rPr>
          <w:rFonts w:ascii="Muli" w:hAnsi="Muli"/>
        </w:rPr>
        <w:t xml:space="preserve"> en su media mensual. El pasado mes de febrero</w:t>
      </w:r>
      <w:r w:rsidR="00FC7F99" w:rsidRPr="00F52520">
        <w:rPr>
          <w:rFonts w:ascii="Muli" w:hAnsi="Muli"/>
        </w:rPr>
        <w:t xml:space="preserve"> de 2025</w:t>
      </w:r>
      <w:r w:rsidR="00975CC7" w:rsidRPr="00F52520">
        <w:rPr>
          <w:rFonts w:ascii="Muli" w:hAnsi="Muli"/>
        </w:rPr>
        <w:t xml:space="preserve"> el índice de referencia más utilizado para calcular el tipo de interés de las hipotecas variables en Europa </w:t>
      </w:r>
      <w:r w:rsidR="003C55F1" w:rsidRPr="00F52520">
        <w:rPr>
          <w:rFonts w:ascii="Muli" w:hAnsi="Muli"/>
        </w:rPr>
        <w:t>se situó en un 2,407% de media.</w:t>
      </w:r>
      <w:r w:rsidR="00AD35BC" w:rsidRPr="00F52520">
        <w:rPr>
          <w:rFonts w:ascii="Segoe UI" w:hAnsi="Segoe UI" w:cs="Segoe UI"/>
          <w:sz w:val="18"/>
          <w:szCs w:val="18"/>
        </w:rPr>
        <w:t xml:space="preserve"> </w:t>
      </w:r>
      <w:r w:rsidR="00AD35BC" w:rsidRPr="00F52520">
        <w:rPr>
          <w:rFonts w:ascii="Muli" w:hAnsi="Muli"/>
        </w:rPr>
        <w:t xml:space="preserve">Y en marzo ha registrado una bajada de </w:t>
      </w:r>
      <w:r w:rsidR="00AD35BC" w:rsidRPr="00F52520">
        <w:rPr>
          <w:rFonts w:ascii="Muli" w:hAnsi="Muli"/>
        </w:rPr>
        <w:t>0,009</w:t>
      </w:r>
      <w:r w:rsidR="00AD35BC" w:rsidRPr="00F52520">
        <w:rPr>
          <w:rFonts w:ascii="Muli" w:hAnsi="Muli"/>
        </w:rPr>
        <w:t xml:space="preserve"> puntos porcentuales, hasta cerrar el mes en el </w:t>
      </w:r>
      <w:r w:rsidR="00AD35BC" w:rsidRPr="00F52520">
        <w:rPr>
          <w:rFonts w:ascii="Muli" w:hAnsi="Muli"/>
        </w:rPr>
        <w:t>2,398</w:t>
      </w:r>
      <w:r w:rsidR="00AD35BC" w:rsidRPr="00F52520">
        <w:rPr>
          <w:rFonts w:ascii="Muli" w:hAnsi="Muli"/>
        </w:rPr>
        <w:t>%</w:t>
      </w:r>
      <w:r w:rsidR="00AD35BC" w:rsidRPr="00F52520">
        <w:rPr>
          <w:rFonts w:ascii="Muli" w:hAnsi="Muli"/>
        </w:rPr>
        <w:t>.</w:t>
      </w:r>
    </w:p>
    <w:p w14:paraId="53E20720" w14:textId="03015E68" w:rsidR="008B6949" w:rsidRDefault="008B6949" w:rsidP="00975CC7">
      <w:pPr>
        <w:tabs>
          <w:tab w:val="left" w:pos="6379"/>
        </w:tabs>
        <w:spacing w:line="256" w:lineRule="auto"/>
        <w:rPr>
          <w:rFonts w:ascii="Muli" w:hAnsi="Muli"/>
        </w:rPr>
      </w:pPr>
      <w:r>
        <w:rPr>
          <w:rFonts w:ascii="Muli" w:hAnsi="Muli"/>
          <w:noProof/>
        </w:rPr>
        <w:drawing>
          <wp:inline distT="0" distB="0" distL="0" distR="0" wp14:anchorId="668F77A6" wp14:editId="7BA9AE86">
            <wp:extent cx="5273040" cy="3412229"/>
            <wp:effectExtent l="0" t="0" r="3810" b="0"/>
            <wp:docPr id="2278572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857221" name="Imagen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82509" cy="3418357"/>
                    </a:xfrm>
                    <a:prstGeom prst="rect">
                      <a:avLst/>
                    </a:prstGeom>
                  </pic:spPr>
                </pic:pic>
              </a:graphicData>
            </a:graphic>
          </wp:inline>
        </w:drawing>
      </w:r>
    </w:p>
    <w:p w14:paraId="5E272B3A" w14:textId="1DE7EEBE" w:rsidR="00B839FF" w:rsidRPr="00F52520" w:rsidRDefault="00B839FF" w:rsidP="00975CC7">
      <w:pPr>
        <w:tabs>
          <w:tab w:val="left" w:pos="6379"/>
        </w:tabs>
        <w:spacing w:line="256" w:lineRule="auto"/>
        <w:rPr>
          <w:rFonts w:ascii="Muli" w:hAnsi="Muli"/>
        </w:rPr>
      </w:pPr>
      <w:r w:rsidRPr="00F52520">
        <w:rPr>
          <w:rFonts w:ascii="Muli" w:hAnsi="Muli"/>
        </w:rPr>
        <w:t>Es cierto que todo apuntaba a que, incluso, este indicador cerrara el mes con un valor más alto</w:t>
      </w:r>
      <w:r w:rsidR="00133034" w:rsidRPr="00F52520">
        <w:rPr>
          <w:rFonts w:ascii="Muli" w:hAnsi="Muli"/>
        </w:rPr>
        <w:t>, por encima incluso que el de febrero</w:t>
      </w:r>
      <w:r w:rsidRPr="00F52520">
        <w:rPr>
          <w:rFonts w:ascii="Muli" w:hAnsi="Muli"/>
        </w:rPr>
        <w:t>, pero</w:t>
      </w:r>
      <w:r w:rsidR="00600F48" w:rsidRPr="00F52520">
        <w:rPr>
          <w:rFonts w:ascii="Muli" w:hAnsi="Muli"/>
        </w:rPr>
        <w:t xml:space="preserve"> en las últimas semanas ha registrado </w:t>
      </w:r>
      <w:r w:rsidR="00133034" w:rsidRPr="00F52520">
        <w:rPr>
          <w:rFonts w:ascii="Muli" w:hAnsi="Muli"/>
        </w:rPr>
        <w:t xml:space="preserve">hasta </w:t>
      </w:r>
      <w:r w:rsidR="007723C8" w:rsidRPr="00F52520">
        <w:rPr>
          <w:rFonts w:ascii="Muli" w:hAnsi="Muli"/>
        </w:rPr>
        <w:t>ocho</w:t>
      </w:r>
      <w:r w:rsidR="00133034" w:rsidRPr="00F52520">
        <w:rPr>
          <w:rFonts w:ascii="Muli" w:hAnsi="Muli"/>
        </w:rPr>
        <w:t xml:space="preserve"> datos diarios que estaban por debajo del umbral del 2,4%</w:t>
      </w:r>
      <w:r w:rsidR="00142A93" w:rsidRPr="00F52520">
        <w:rPr>
          <w:rFonts w:ascii="Muli" w:hAnsi="Muli"/>
        </w:rPr>
        <w:t xml:space="preserve">. “Este mes el euríbor nos ha demostrado, una vez más, que no podemos hacer predicciones sobre su evolución porque, en </w:t>
      </w:r>
      <w:r w:rsidR="00142A93" w:rsidRPr="00F52520">
        <w:rPr>
          <w:rFonts w:ascii="Muli" w:hAnsi="Muli"/>
        </w:rPr>
        <w:lastRenderedPageBreak/>
        <w:t>una semana, puede cambiar</w:t>
      </w:r>
      <w:r w:rsidR="00737685" w:rsidRPr="00F52520">
        <w:rPr>
          <w:rFonts w:ascii="Muli" w:hAnsi="Muli"/>
        </w:rPr>
        <w:t xml:space="preserve"> mucho</w:t>
      </w:r>
      <w:r w:rsidR="00142A93" w:rsidRPr="00F52520">
        <w:rPr>
          <w:rFonts w:ascii="Muli" w:hAnsi="Muli"/>
        </w:rPr>
        <w:t xml:space="preserve"> su</w:t>
      </w:r>
      <w:r w:rsidR="005C533C" w:rsidRPr="00F52520">
        <w:rPr>
          <w:rFonts w:ascii="Muli" w:hAnsi="Muli"/>
        </w:rPr>
        <w:t xml:space="preserve"> tendencia. </w:t>
      </w:r>
      <w:r w:rsidR="00737685" w:rsidRPr="00F52520">
        <w:rPr>
          <w:rFonts w:ascii="Muli" w:hAnsi="Muli"/>
        </w:rPr>
        <w:t>Este</w:t>
      </w:r>
      <w:r w:rsidR="005C533C" w:rsidRPr="00F52520">
        <w:rPr>
          <w:rFonts w:ascii="Muli" w:hAnsi="Muli"/>
        </w:rPr>
        <w:t xml:space="preserve"> indicador está muy influenciado </w:t>
      </w:r>
      <w:r w:rsidR="00737685" w:rsidRPr="00F52520">
        <w:rPr>
          <w:rFonts w:ascii="Muli" w:hAnsi="Muli"/>
        </w:rPr>
        <w:t>por lo que pase a nivel político, social y económico en Europa y, por eso, nos da estas sorpresas”, explica Simone Colombelli, director de Hipotecas del comparador y asesor hipotecario iAhorro.</w:t>
      </w:r>
    </w:p>
    <w:p w14:paraId="2C5DE9A2" w14:textId="4FCC78F9" w:rsidR="00FF7A24" w:rsidRPr="00F52520" w:rsidRDefault="00737685" w:rsidP="00FF7A24">
      <w:pPr>
        <w:tabs>
          <w:tab w:val="left" w:pos="6379"/>
        </w:tabs>
        <w:spacing w:line="256" w:lineRule="auto"/>
        <w:rPr>
          <w:rFonts w:ascii="Muli" w:hAnsi="Muli"/>
        </w:rPr>
      </w:pPr>
      <w:r w:rsidRPr="00F52520">
        <w:rPr>
          <w:rFonts w:ascii="Muli" w:hAnsi="Muli"/>
        </w:rPr>
        <w:t>Igualmente, Colombelli explica que lo ocurrido este mes se debe a que “el euríbor está experimentando una clara fase de estabilización”, y añade que “es totalmente normal que mantenga esta línea algo más plana, sobre todo tras las caídas tan drásticas experimentadas hace unos meses”. También matiza que este escenario que vivimos ahora “es positivo, viendo sobre todo de dónde venimos</w:t>
      </w:r>
      <w:r w:rsidR="00523E3A" w:rsidRPr="00F52520">
        <w:rPr>
          <w:rFonts w:ascii="Muli" w:hAnsi="Muli"/>
        </w:rPr>
        <w:t xml:space="preserve"> y también con la enorme incertidumbre que hay en estos momentos a nivel europeo</w:t>
      </w:r>
      <w:r w:rsidRPr="00F52520">
        <w:rPr>
          <w:rFonts w:ascii="Muli" w:hAnsi="Muli"/>
        </w:rPr>
        <w:t xml:space="preserve">”. </w:t>
      </w:r>
      <w:r w:rsidR="00FF7A24" w:rsidRPr="00F52520">
        <w:rPr>
          <w:rFonts w:ascii="Muli" w:hAnsi="Muli"/>
        </w:rPr>
        <w:t>Recordemos que el año pasado por estas fechas el índice de referencia se situaba en el 3,</w:t>
      </w:r>
      <w:r w:rsidR="001174C6" w:rsidRPr="00F52520">
        <w:rPr>
          <w:rFonts w:ascii="Muli" w:hAnsi="Muli"/>
        </w:rPr>
        <w:t>718</w:t>
      </w:r>
      <w:r w:rsidR="00FF7A24" w:rsidRPr="00F52520">
        <w:rPr>
          <w:rFonts w:ascii="Muli" w:hAnsi="Muli"/>
        </w:rPr>
        <w:t>%</w:t>
      </w:r>
      <w:r w:rsidR="00AB2499" w:rsidRPr="00F52520">
        <w:rPr>
          <w:rFonts w:ascii="Muli" w:hAnsi="Muli"/>
        </w:rPr>
        <w:t xml:space="preserve">, hasta </w:t>
      </w:r>
      <w:r w:rsidR="007723C8" w:rsidRPr="00F52520">
        <w:rPr>
          <w:rFonts w:ascii="Muli" w:hAnsi="Muli"/>
        </w:rPr>
        <w:t>1,412</w:t>
      </w:r>
      <w:r w:rsidR="00AB2499" w:rsidRPr="00F52520">
        <w:rPr>
          <w:rFonts w:ascii="Muli" w:hAnsi="Muli"/>
        </w:rPr>
        <w:t xml:space="preserve"> puntos porcentuales por encima del dato actual.</w:t>
      </w:r>
    </w:p>
    <w:p w14:paraId="690BD431" w14:textId="5633A422" w:rsidR="00C5189B" w:rsidRDefault="00542640" w:rsidP="00C5189B">
      <w:pPr>
        <w:ind w:left="708" w:hanging="708"/>
        <w:rPr>
          <w:rFonts w:ascii="Muli" w:hAnsi="Muli"/>
        </w:rPr>
      </w:pPr>
      <w:r>
        <w:rPr>
          <w:rFonts w:ascii="Montserrat" w:hAnsi="Montserrat"/>
          <w:b/>
          <w:bCs/>
          <w:color w:val="243962"/>
          <w:bdr w:val="none" w:sz="0" w:space="0" w:color="auto" w:frame="1"/>
          <w:shd w:val="clear" w:color="auto" w:fill="FFFFFF"/>
        </w:rPr>
        <w:t xml:space="preserve">Los hipotecados a tipo variable pagarán hasta </w:t>
      </w:r>
      <w:r w:rsidR="006479A5">
        <w:rPr>
          <w:rFonts w:ascii="Montserrat" w:hAnsi="Montserrat"/>
          <w:b/>
          <w:bCs/>
          <w:color w:val="243962"/>
          <w:bdr w:val="none" w:sz="0" w:space="0" w:color="auto" w:frame="1"/>
          <w:shd w:val="clear" w:color="auto" w:fill="FFFFFF"/>
        </w:rPr>
        <w:t>2.</w:t>
      </w:r>
      <w:r w:rsidR="009C08F9">
        <w:rPr>
          <w:rFonts w:ascii="Montserrat" w:hAnsi="Montserrat"/>
          <w:b/>
          <w:bCs/>
          <w:color w:val="243962"/>
          <w:bdr w:val="none" w:sz="0" w:space="0" w:color="auto" w:frame="1"/>
          <w:shd w:val="clear" w:color="auto" w:fill="FFFFFF"/>
        </w:rPr>
        <w:t>5</w:t>
      </w:r>
      <w:r w:rsidR="006479A5">
        <w:rPr>
          <w:rFonts w:ascii="Montserrat" w:hAnsi="Montserrat"/>
          <w:b/>
          <w:bCs/>
          <w:color w:val="243962"/>
          <w:bdr w:val="none" w:sz="0" w:space="0" w:color="auto" w:frame="1"/>
          <w:shd w:val="clear" w:color="auto" w:fill="FFFFFF"/>
        </w:rPr>
        <w:t>00</w:t>
      </w:r>
      <w:r>
        <w:rPr>
          <w:rFonts w:ascii="Montserrat" w:hAnsi="Montserrat"/>
          <w:b/>
          <w:bCs/>
          <w:color w:val="243962"/>
          <w:bdr w:val="none" w:sz="0" w:space="0" w:color="auto" w:frame="1"/>
          <w:shd w:val="clear" w:color="auto" w:fill="FFFFFF"/>
        </w:rPr>
        <w:t xml:space="preserve"> euros menos al año</w:t>
      </w:r>
    </w:p>
    <w:p w14:paraId="553AC778" w14:textId="555E7E97" w:rsidR="00C5189B" w:rsidRPr="00F52520" w:rsidRDefault="007E2F21" w:rsidP="00C5189B">
      <w:pPr>
        <w:rPr>
          <w:rFonts w:ascii="Muli" w:hAnsi="Muli"/>
        </w:rPr>
      </w:pPr>
      <w:r w:rsidRPr="00F52520">
        <w:rPr>
          <w:rFonts w:ascii="Muli" w:hAnsi="Muli"/>
        </w:rPr>
        <w:t>Gracias a esta bajada del euríbor interanual (</w:t>
      </w:r>
      <w:r w:rsidR="00CF5431" w:rsidRPr="00F52520">
        <w:rPr>
          <w:rFonts w:ascii="Muli" w:hAnsi="Muli"/>
        </w:rPr>
        <w:t>respecto a marzo de 2024), las personas que tengan ahora mismo contratada una hipoteca variable y les toque hacer la revisión</w:t>
      </w:r>
      <w:r w:rsidR="00500803" w:rsidRPr="00F52520">
        <w:rPr>
          <w:rFonts w:ascii="Muli" w:hAnsi="Muli"/>
        </w:rPr>
        <w:t xml:space="preserve"> anual</w:t>
      </w:r>
      <w:r w:rsidR="00CF5431" w:rsidRPr="00F52520">
        <w:rPr>
          <w:rFonts w:ascii="Muli" w:hAnsi="Muli"/>
        </w:rPr>
        <w:t xml:space="preserve"> de su cuota con el dato de este mes se ahorrarán entre </w:t>
      </w:r>
      <w:r w:rsidR="003A047C" w:rsidRPr="00F52520">
        <w:rPr>
          <w:rFonts w:ascii="Muli" w:hAnsi="Muli"/>
        </w:rPr>
        <w:t>1</w:t>
      </w:r>
      <w:r w:rsidR="00E46388" w:rsidRPr="00F52520">
        <w:rPr>
          <w:rFonts w:ascii="Muli" w:hAnsi="Muli"/>
        </w:rPr>
        <w:t>0</w:t>
      </w:r>
      <w:r w:rsidR="003A047C" w:rsidRPr="00F52520">
        <w:rPr>
          <w:rFonts w:ascii="Muli" w:hAnsi="Muli"/>
        </w:rPr>
        <w:t>0</w:t>
      </w:r>
      <w:r w:rsidR="00CF5431" w:rsidRPr="00F52520">
        <w:rPr>
          <w:rFonts w:ascii="Muli" w:hAnsi="Muli"/>
        </w:rPr>
        <w:t xml:space="preserve"> y </w:t>
      </w:r>
      <w:r w:rsidR="003A047C" w:rsidRPr="00F52520">
        <w:rPr>
          <w:rFonts w:ascii="Muli" w:hAnsi="Muli"/>
        </w:rPr>
        <w:t>2</w:t>
      </w:r>
      <w:r w:rsidR="00E46388" w:rsidRPr="00F52520">
        <w:rPr>
          <w:rFonts w:ascii="Muli" w:hAnsi="Muli"/>
        </w:rPr>
        <w:t>0</w:t>
      </w:r>
      <w:r w:rsidR="003A047C" w:rsidRPr="00F52520">
        <w:rPr>
          <w:rFonts w:ascii="Muli" w:hAnsi="Muli"/>
        </w:rPr>
        <w:t>0</w:t>
      </w:r>
      <w:r w:rsidR="00CF5431" w:rsidRPr="00F52520">
        <w:rPr>
          <w:rFonts w:ascii="Muli" w:hAnsi="Muli"/>
        </w:rPr>
        <w:t xml:space="preserve"> euros al mes por su hipoteca </w:t>
      </w:r>
      <w:r w:rsidR="00CA1302" w:rsidRPr="00F52520">
        <w:rPr>
          <w:rFonts w:ascii="Muli" w:hAnsi="Muli"/>
        </w:rPr>
        <w:t>en caso de que la cuantía inicial de esta fuera de</w:t>
      </w:r>
      <w:r w:rsidR="00CF5431" w:rsidRPr="00F52520">
        <w:rPr>
          <w:rFonts w:ascii="Muli" w:hAnsi="Muli"/>
        </w:rPr>
        <w:t xml:space="preserve"> 150.000 y 300.000 euros, respectivamente</w:t>
      </w:r>
      <w:r w:rsidR="00CA1302" w:rsidRPr="00F52520">
        <w:rPr>
          <w:rFonts w:ascii="Muli" w:hAnsi="Muli"/>
        </w:rPr>
        <w:t>.</w:t>
      </w:r>
      <w:r w:rsidR="00500803" w:rsidRPr="00F52520">
        <w:rPr>
          <w:rFonts w:ascii="Muli" w:hAnsi="Muli"/>
        </w:rPr>
        <w:t xml:space="preserve"> </w:t>
      </w:r>
    </w:p>
    <w:p w14:paraId="26D807A0" w14:textId="38E4873B" w:rsidR="00500803" w:rsidRPr="00F52520" w:rsidRDefault="00C37091" w:rsidP="00500803">
      <w:pPr>
        <w:rPr>
          <w:rFonts w:ascii="Muli" w:hAnsi="Muli"/>
        </w:rPr>
      </w:pPr>
      <w:r w:rsidRPr="00F52520">
        <w:rPr>
          <w:rFonts w:ascii="Muli" w:hAnsi="Muli"/>
        </w:rPr>
        <w:t>Por ejemplo,</w:t>
      </w:r>
      <w:r w:rsidR="00500803" w:rsidRPr="00F52520">
        <w:rPr>
          <w:rFonts w:ascii="Muli" w:hAnsi="Muli"/>
        </w:rPr>
        <w:t xml:space="preserve"> </w:t>
      </w:r>
      <w:r w:rsidR="003A047C" w:rsidRPr="00F52520">
        <w:rPr>
          <w:rFonts w:ascii="Muli" w:hAnsi="Muli"/>
        </w:rPr>
        <w:t xml:space="preserve">quienes </w:t>
      </w:r>
      <w:r w:rsidR="00500803" w:rsidRPr="00F52520">
        <w:rPr>
          <w:rFonts w:ascii="Muli" w:hAnsi="Muli"/>
        </w:rPr>
        <w:t xml:space="preserve">tengan </w:t>
      </w:r>
      <w:r w:rsidR="00154705" w:rsidRPr="00F52520">
        <w:rPr>
          <w:rFonts w:ascii="Muli" w:hAnsi="Muli"/>
        </w:rPr>
        <w:t xml:space="preserve">que revisar una </w:t>
      </w:r>
      <w:r w:rsidR="00500803" w:rsidRPr="00F52520">
        <w:rPr>
          <w:rFonts w:ascii="Muli" w:hAnsi="Muli"/>
        </w:rPr>
        <w:t xml:space="preserve">hipoteca variable </w:t>
      </w:r>
      <w:r w:rsidR="00154705" w:rsidRPr="00F52520">
        <w:rPr>
          <w:rFonts w:ascii="Muli" w:hAnsi="Muli"/>
        </w:rPr>
        <w:t>de 150.000 euros</w:t>
      </w:r>
      <w:r w:rsidR="00D258A9" w:rsidRPr="00F52520">
        <w:rPr>
          <w:rFonts w:ascii="Muli" w:hAnsi="Muli"/>
        </w:rPr>
        <w:t xml:space="preserve"> contratada en el año </w:t>
      </w:r>
      <w:r w:rsidRPr="00F52520">
        <w:rPr>
          <w:rFonts w:ascii="Muli" w:hAnsi="Muli"/>
        </w:rPr>
        <w:t>2022</w:t>
      </w:r>
      <w:r w:rsidR="00D258A9" w:rsidRPr="00F52520">
        <w:rPr>
          <w:rFonts w:ascii="Muli" w:hAnsi="Muli"/>
        </w:rPr>
        <w:t>, con un plazo de amortización de 30 años y</w:t>
      </w:r>
      <w:r w:rsidR="00154705" w:rsidRPr="00F52520">
        <w:rPr>
          <w:rFonts w:ascii="Muli" w:hAnsi="Muli"/>
        </w:rPr>
        <w:t xml:space="preserve"> un tipo de interés de euríbor más diferencial del 0,99%</w:t>
      </w:r>
      <w:r w:rsidR="00500803" w:rsidRPr="00F52520">
        <w:rPr>
          <w:rFonts w:ascii="Muli" w:hAnsi="Muli"/>
        </w:rPr>
        <w:t>, verán cómo</w:t>
      </w:r>
      <w:r w:rsidR="00154705" w:rsidRPr="00F52520">
        <w:rPr>
          <w:rFonts w:ascii="Muli" w:hAnsi="Muli"/>
        </w:rPr>
        <w:t xml:space="preserve"> su cuota</w:t>
      </w:r>
      <w:r w:rsidR="00500803" w:rsidRPr="00F52520">
        <w:rPr>
          <w:rFonts w:ascii="Muli" w:hAnsi="Muli"/>
        </w:rPr>
        <w:t xml:space="preserve"> cae </w:t>
      </w:r>
      <w:r w:rsidR="00253DBD" w:rsidRPr="00F52520">
        <w:rPr>
          <w:rFonts w:ascii="Muli" w:hAnsi="Muli"/>
        </w:rPr>
        <w:t>104,55</w:t>
      </w:r>
      <w:r w:rsidR="00500803" w:rsidRPr="00F52520">
        <w:rPr>
          <w:rFonts w:ascii="Muli" w:hAnsi="Muli"/>
        </w:rPr>
        <w:t xml:space="preserve"> euros</w:t>
      </w:r>
      <w:r w:rsidR="002F26EB" w:rsidRPr="00F52520">
        <w:rPr>
          <w:rFonts w:ascii="Muli" w:hAnsi="Muli"/>
        </w:rPr>
        <w:t xml:space="preserve"> cada mes</w:t>
      </w:r>
      <w:r w:rsidR="00500803" w:rsidRPr="00F52520">
        <w:rPr>
          <w:rFonts w:ascii="Muli" w:hAnsi="Muli"/>
        </w:rPr>
        <w:t xml:space="preserve">: de pagar </w:t>
      </w:r>
      <w:r w:rsidR="009C08F9" w:rsidRPr="00F52520">
        <w:rPr>
          <w:rFonts w:ascii="Muli" w:hAnsi="Muli"/>
        </w:rPr>
        <w:t>767,23</w:t>
      </w:r>
      <w:r w:rsidR="00500803" w:rsidRPr="00F52520">
        <w:rPr>
          <w:rFonts w:ascii="Muli" w:hAnsi="Muli"/>
        </w:rPr>
        <w:t xml:space="preserve"> euros hasta ahora, pasaría a</w:t>
      </w:r>
      <w:r w:rsidR="002F26EB" w:rsidRPr="00F52520">
        <w:rPr>
          <w:rFonts w:ascii="Muli" w:hAnsi="Muli"/>
        </w:rPr>
        <w:t xml:space="preserve"> pagar </w:t>
      </w:r>
      <w:r w:rsidR="00253DBD" w:rsidRPr="00F52520">
        <w:rPr>
          <w:rFonts w:ascii="Muli" w:hAnsi="Muli"/>
        </w:rPr>
        <w:t>662,68</w:t>
      </w:r>
      <w:r w:rsidR="00500803" w:rsidRPr="00F52520">
        <w:rPr>
          <w:rFonts w:ascii="Muli" w:hAnsi="Muli"/>
        </w:rPr>
        <w:t xml:space="preserve"> euros</w:t>
      </w:r>
      <w:r w:rsidR="002F26EB" w:rsidRPr="00F52520">
        <w:rPr>
          <w:rFonts w:ascii="Muli" w:hAnsi="Muli"/>
        </w:rPr>
        <w:t xml:space="preserve"> mensuales</w:t>
      </w:r>
      <w:r w:rsidR="00500803" w:rsidRPr="00F52520">
        <w:rPr>
          <w:rFonts w:ascii="Muli" w:hAnsi="Muli"/>
        </w:rPr>
        <w:t>. Esto</w:t>
      </w:r>
      <w:r w:rsidR="003A047C" w:rsidRPr="00F52520">
        <w:rPr>
          <w:rFonts w:ascii="Muli" w:hAnsi="Muli"/>
        </w:rPr>
        <w:t xml:space="preserve"> s</w:t>
      </w:r>
      <w:r w:rsidR="00500803" w:rsidRPr="00F52520">
        <w:rPr>
          <w:rFonts w:ascii="Muli" w:hAnsi="Muli"/>
        </w:rPr>
        <w:t xml:space="preserve">upondría una rebaja anual de </w:t>
      </w:r>
      <w:r w:rsidR="00253DBD" w:rsidRPr="00F52520">
        <w:rPr>
          <w:rFonts w:ascii="Muli" w:hAnsi="Muli"/>
        </w:rPr>
        <w:t>1.254,58</w:t>
      </w:r>
      <w:r w:rsidR="002F26EB" w:rsidRPr="00F52520">
        <w:rPr>
          <w:rFonts w:ascii="Muli" w:hAnsi="Muli"/>
        </w:rPr>
        <w:t xml:space="preserve"> </w:t>
      </w:r>
      <w:r w:rsidR="00500803" w:rsidRPr="00F52520">
        <w:rPr>
          <w:rFonts w:ascii="Muli" w:hAnsi="Muli"/>
        </w:rPr>
        <w:t xml:space="preserve">euros. </w:t>
      </w:r>
    </w:p>
    <w:p w14:paraId="68DFFADA" w14:textId="76A8BB98" w:rsidR="00A606E7" w:rsidRDefault="00A606E7" w:rsidP="00C5189B">
      <w:pPr>
        <w:rPr>
          <w:rFonts w:ascii="Muli" w:hAnsi="Muli"/>
        </w:rPr>
      </w:pPr>
      <w:r>
        <w:rPr>
          <w:rFonts w:ascii="Muli" w:hAnsi="Muli"/>
          <w:noProof/>
        </w:rPr>
        <w:drawing>
          <wp:inline distT="0" distB="0" distL="0" distR="0" wp14:anchorId="42319F58" wp14:editId="69B8EA82">
            <wp:extent cx="5302250" cy="2773680"/>
            <wp:effectExtent l="0" t="0" r="0" b="7620"/>
            <wp:docPr id="86561887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618878" name="Imagen 2"/>
                    <pic:cNvPicPr/>
                  </pic:nvPicPr>
                  <pic:blipFill rotWithShape="1">
                    <a:blip r:embed="rId11" cstate="print">
                      <a:extLst>
                        <a:ext uri="{28A0092B-C50C-407E-A947-70E740481C1C}">
                          <a14:useLocalDpi xmlns:a14="http://schemas.microsoft.com/office/drawing/2010/main" val="0"/>
                        </a:ext>
                      </a:extLst>
                    </a:blip>
                    <a:srcRect t="3270" b="13966"/>
                    <a:stretch/>
                  </pic:blipFill>
                  <pic:spPr bwMode="auto">
                    <a:xfrm>
                      <a:off x="0" y="0"/>
                      <a:ext cx="5307977" cy="2776676"/>
                    </a:xfrm>
                    <a:prstGeom prst="rect">
                      <a:avLst/>
                    </a:prstGeom>
                    <a:ln>
                      <a:noFill/>
                    </a:ln>
                    <a:extLst>
                      <a:ext uri="{53640926-AAD7-44D8-BBD7-CCE9431645EC}">
                        <a14:shadowObscured xmlns:a14="http://schemas.microsoft.com/office/drawing/2010/main"/>
                      </a:ext>
                    </a:extLst>
                  </pic:spPr>
                </pic:pic>
              </a:graphicData>
            </a:graphic>
          </wp:inline>
        </w:drawing>
      </w:r>
    </w:p>
    <w:p w14:paraId="4B03309E" w14:textId="35410C2C" w:rsidR="00C5189B" w:rsidRPr="00F52520" w:rsidRDefault="00500803" w:rsidP="00C5189B">
      <w:pPr>
        <w:rPr>
          <w:rFonts w:ascii="Muli" w:hAnsi="Muli"/>
        </w:rPr>
      </w:pPr>
      <w:r w:rsidRPr="00F52520">
        <w:rPr>
          <w:rFonts w:ascii="Muli" w:hAnsi="Muli"/>
        </w:rPr>
        <w:t xml:space="preserve">Por su parte, si la cuantía de esa hipoteca ascendiera hasta los 300.000 euros, con las mismas condiciones del ejemplo anterior, el ahorro mensual aumentaría hasta los </w:t>
      </w:r>
      <w:r w:rsidR="00A21534" w:rsidRPr="00F52520">
        <w:rPr>
          <w:rFonts w:ascii="Muli" w:hAnsi="Muli"/>
        </w:rPr>
        <w:t>209,10</w:t>
      </w:r>
      <w:r w:rsidRPr="00F52520">
        <w:rPr>
          <w:rFonts w:ascii="Muli" w:hAnsi="Muli"/>
        </w:rPr>
        <w:t xml:space="preserve"> euros cada mes: de 1.5</w:t>
      </w:r>
      <w:r w:rsidR="009C08F9" w:rsidRPr="00F52520">
        <w:rPr>
          <w:rFonts w:ascii="Muli" w:hAnsi="Muli"/>
        </w:rPr>
        <w:t>34,46</w:t>
      </w:r>
      <w:r w:rsidRPr="00F52520">
        <w:rPr>
          <w:rFonts w:ascii="Muli" w:hAnsi="Muli"/>
        </w:rPr>
        <w:t xml:space="preserve"> euros de cuota pasaría a pagar 1.</w:t>
      </w:r>
      <w:r w:rsidR="00CA1302" w:rsidRPr="00F52520">
        <w:rPr>
          <w:rFonts w:ascii="Muli" w:hAnsi="Muli"/>
        </w:rPr>
        <w:t>32</w:t>
      </w:r>
      <w:r w:rsidR="00A21534" w:rsidRPr="00F52520">
        <w:rPr>
          <w:rFonts w:ascii="Muli" w:hAnsi="Muli"/>
        </w:rPr>
        <w:t>5</w:t>
      </w:r>
      <w:r w:rsidR="00CA1302" w:rsidRPr="00F52520">
        <w:rPr>
          <w:rFonts w:ascii="Muli" w:hAnsi="Muli"/>
        </w:rPr>
        <w:t>,</w:t>
      </w:r>
      <w:r w:rsidR="00A21534" w:rsidRPr="00F52520">
        <w:rPr>
          <w:rFonts w:ascii="Muli" w:hAnsi="Muli"/>
        </w:rPr>
        <w:t>36</w:t>
      </w:r>
      <w:r w:rsidRPr="00F52520">
        <w:rPr>
          <w:rFonts w:ascii="Muli" w:hAnsi="Muli"/>
        </w:rPr>
        <w:t xml:space="preserve"> euros. En este caso el ahorro anual sería de 2.</w:t>
      </w:r>
      <w:r w:rsidR="00A21534" w:rsidRPr="00F52520">
        <w:rPr>
          <w:rFonts w:ascii="Muli" w:hAnsi="Muli"/>
        </w:rPr>
        <w:t>509,16</w:t>
      </w:r>
      <w:r w:rsidRPr="00F52520">
        <w:rPr>
          <w:rFonts w:ascii="Muli" w:hAnsi="Muli"/>
        </w:rPr>
        <w:t xml:space="preserve"> euros.</w:t>
      </w:r>
    </w:p>
    <w:p w14:paraId="2AB34EE6" w14:textId="2BB6F3D0" w:rsidR="005B07B4" w:rsidRDefault="005B07B4" w:rsidP="00C5189B">
      <w:pPr>
        <w:rPr>
          <w:rFonts w:ascii="Muli" w:hAnsi="Muli"/>
        </w:rPr>
      </w:pPr>
      <w:r>
        <w:rPr>
          <w:rFonts w:ascii="Muli" w:hAnsi="Muli"/>
        </w:rPr>
        <w:t>No obstante, como vemos en ambos casos, la caída de las cuotas mensuales de este año no compensa todavía las subidas de los años anteriores.</w:t>
      </w:r>
    </w:p>
    <w:p w14:paraId="3BC5D047" w14:textId="61679915" w:rsidR="00542640" w:rsidRDefault="00542640" w:rsidP="00542640">
      <w:pPr>
        <w:ind w:left="708" w:hanging="708"/>
        <w:rPr>
          <w:rFonts w:ascii="Muli" w:hAnsi="Muli"/>
        </w:rPr>
      </w:pPr>
      <w:r>
        <w:rPr>
          <w:rFonts w:ascii="Montserrat" w:hAnsi="Montserrat"/>
          <w:b/>
          <w:bCs/>
          <w:color w:val="243962"/>
          <w:bdr w:val="none" w:sz="0" w:space="0" w:color="auto" w:frame="1"/>
          <w:shd w:val="clear" w:color="auto" w:fill="FFFFFF"/>
        </w:rPr>
        <w:lastRenderedPageBreak/>
        <w:t>¿Qué pasará en los próximos meses con</w:t>
      </w:r>
      <w:r w:rsidR="00D0336B">
        <w:rPr>
          <w:rFonts w:ascii="Montserrat" w:hAnsi="Montserrat"/>
          <w:b/>
          <w:bCs/>
          <w:color w:val="243962"/>
          <w:bdr w:val="none" w:sz="0" w:space="0" w:color="auto" w:frame="1"/>
          <w:shd w:val="clear" w:color="auto" w:fill="FFFFFF"/>
        </w:rPr>
        <w:t xml:space="preserve"> el BCE y</w:t>
      </w:r>
      <w:r>
        <w:rPr>
          <w:rFonts w:ascii="Montserrat" w:hAnsi="Montserrat"/>
          <w:b/>
          <w:bCs/>
          <w:color w:val="243962"/>
          <w:bdr w:val="none" w:sz="0" w:space="0" w:color="auto" w:frame="1"/>
          <w:shd w:val="clear" w:color="auto" w:fill="FFFFFF"/>
        </w:rPr>
        <w:t xml:space="preserve"> las hipotecas?</w:t>
      </w:r>
    </w:p>
    <w:p w14:paraId="3C955C8C" w14:textId="77777777" w:rsidR="007F2488" w:rsidRDefault="00297F4C" w:rsidP="00542640">
      <w:pPr>
        <w:rPr>
          <w:rFonts w:ascii="Muli" w:hAnsi="Muli"/>
        </w:rPr>
      </w:pPr>
      <w:r>
        <w:rPr>
          <w:rFonts w:ascii="Muli" w:hAnsi="Muli"/>
        </w:rPr>
        <w:t xml:space="preserve">Cómo avanzará el mercado hipotecario, sobre todo a corto plazo, dependerá de las decisiones que tome el Banco Central Europeo (BCE) en los próximos meses. Por ahora, el organismo que preside Christine Lagarde ha aplicado dos bajadas en los tipos de interés oficiales este año, </w:t>
      </w:r>
      <w:r w:rsidR="007F2488">
        <w:rPr>
          <w:rFonts w:ascii="Muli" w:hAnsi="Muli"/>
        </w:rPr>
        <w:t xml:space="preserve">por lo que ya van cinco reducciones consecutivas desde julio de 2024, y sitúa este indicador en el 2,5%. </w:t>
      </w:r>
    </w:p>
    <w:p w14:paraId="0801025F" w14:textId="6593DCFE" w:rsidR="007F2488" w:rsidRDefault="007F2488" w:rsidP="00542640">
      <w:pPr>
        <w:rPr>
          <w:rFonts w:ascii="Muli" w:hAnsi="Muli"/>
        </w:rPr>
      </w:pPr>
      <w:r>
        <w:rPr>
          <w:rFonts w:ascii="Muli" w:hAnsi="Muli"/>
        </w:rPr>
        <w:t xml:space="preserve">Es cierto que la incertidumbre política y económica a nivel europeo ha aumentado en los últimos meses, sobre todo tras la toma de posesión de Donald Trump como presidente de Estados Unidos, pero las previsiones siguen siendo positivas y, por tanto, “esperamos que los tipos de interés oficiales continúen este años su senda a la baja”, señala el director de Hipotecas del comparador y asesor hipotecario. Uno de los principales motivos es que, como han revelado en los últimos meses algunos de los miembros del BCE, </w:t>
      </w:r>
      <w:r w:rsidR="00E738CF">
        <w:rPr>
          <w:rFonts w:ascii="Muli" w:hAnsi="Muli"/>
        </w:rPr>
        <w:t>el objetivo de este organismo es terminar el año con los tipos en el 2% o incluso algo por debajo. Y</w:t>
      </w:r>
      <w:r w:rsidR="00FF01A8">
        <w:rPr>
          <w:rFonts w:ascii="Muli" w:hAnsi="Muli"/>
        </w:rPr>
        <w:t xml:space="preserve">, </w:t>
      </w:r>
      <w:r w:rsidR="00E738CF">
        <w:rPr>
          <w:rFonts w:ascii="Muli" w:hAnsi="Muli"/>
        </w:rPr>
        <w:t>por tanto, se prevén más recortes.</w:t>
      </w:r>
    </w:p>
    <w:p w14:paraId="0616D7A2" w14:textId="2637B9B7" w:rsidR="00E738CF" w:rsidRDefault="00E738CF" w:rsidP="00542640">
      <w:pPr>
        <w:rPr>
          <w:rFonts w:ascii="Muli" w:hAnsi="Muli"/>
        </w:rPr>
      </w:pPr>
      <w:r>
        <w:rPr>
          <w:rFonts w:ascii="Muli" w:hAnsi="Muli"/>
        </w:rPr>
        <w:t>La próxima decisión se tomará el día 17 de abril, cuando está prevista una nueva reunión por parte del BCE. ¿Qué pasará entonces? Colombelli es cauto y cree que Lagarde también lo va a ser: “</w:t>
      </w:r>
      <w:r w:rsidR="00BE365A">
        <w:rPr>
          <w:rFonts w:ascii="Muli" w:hAnsi="Muli"/>
        </w:rPr>
        <w:t xml:space="preserve">Creo que lo más probable es que el BCE mantenga como están los tipos de interés oficiales en el 2,5% en abril, que no aplique una nueva bajada hasta verano”, declara el portavoz de iAhorro, que añade: “Ahora mismo el mercado está estable, </w:t>
      </w:r>
      <w:r w:rsidR="00C745D1">
        <w:rPr>
          <w:rFonts w:ascii="Muli" w:hAnsi="Muli"/>
        </w:rPr>
        <w:t>hay muy buenas ofertas a nivel hipotecario y la economía sigue avanzando positivamente, sobre todo a niveles de inflación. Es mejor no precipitarse, mantener la calma y tomar decisiones sobre seguro que</w:t>
      </w:r>
      <w:r w:rsidR="00EF2A12">
        <w:rPr>
          <w:rFonts w:ascii="Muli" w:hAnsi="Muli"/>
        </w:rPr>
        <w:t xml:space="preserve"> arriesgarse a que una nueva bajada de tipos (</w:t>
      </w:r>
      <w:r w:rsidR="00A049FD">
        <w:rPr>
          <w:rFonts w:ascii="Muli" w:hAnsi="Muli"/>
        </w:rPr>
        <w:t>de otros 25 puntos básicos)</w:t>
      </w:r>
      <w:r w:rsidR="00EF2A12">
        <w:rPr>
          <w:rFonts w:ascii="Muli" w:hAnsi="Muli"/>
        </w:rPr>
        <w:t xml:space="preserve">, pueda desencadenar escenarios muy negativos a nivel macroeconómico”. </w:t>
      </w:r>
    </w:p>
    <w:p w14:paraId="0B68B6F3" w14:textId="1A38721F" w:rsidR="00C1494D" w:rsidRDefault="00D0336B" w:rsidP="00542640">
      <w:pPr>
        <w:rPr>
          <w:rFonts w:ascii="Muli" w:hAnsi="Muli"/>
        </w:rPr>
      </w:pPr>
      <w:r>
        <w:rPr>
          <w:rFonts w:ascii="Muli" w:hAnsi="Muli"/>
        </w:rPr>
        <w:t>Si esto pasa, matiza Simone Colombelli, “los banco</w:t>
      </w:r>
      <w:r w:rsidR="00BD1D75">
        <w:rPr>
          <w:rFonts w:ascii="Muli" w:hAnsi="Muli"/>
        </w:rPr>
        <w:t>s tampoco realizarán grandes ajustes en sus ofertas hasta verano. Es cierto que, en función del tipo de perfi</w:t>
      </w:r>
      <w:r w:rsidR="00D04DB0">
        <w:rPr>
          <w:rFonts w:ascii="Muli" w:hAnsi="Muli"/>
        </w:rPr>
        <w:t xml:space="preserve">l, hay entidades financieras que </w:t>
      </w:r>
      <w:r w:rsidR="00884EB8">
        <w:rPr>
          <w:rFonts w:ascii="Muli" w:hAnsi="Muli"/>
        </w:rPr>
        <w:t>están siendo más agresivas con los tipos de interés: ya vemos alguna que está ofreciendo un tipo fijo del 1,80% TIN a perfiles más premium; personas muy solventes y con bajo ratio de endeudamiento. Pero</w:t>
      </w:r>
      <w:r w:rsidR="005A6331">
        <w:rPr>
          <w:rFonts w:ascii="Muli" w:hAnsi="Muli"/>
        </w:rPr>
        <w:t xml:space="preserve"> en líneas generales</w:t>
      </w:r>
      <w:r w:rsidR="00884EB8">
        <w:rPr>
          <w:rFonts w:ascii="Muli" w:hAnsi="Muli"/>
        </w:rPr>
        <w:t xml:space="preserve"> </w:t>
      </w:r>
      <w:r w:rsidR="00C1494D">
        <w:rPr>
          <w:rFonts w:ascii="Muli" w:hAnsi="Muli"/>
        </w:rPr>
        <w:t>no esperamos que haya cambios</w:t>
      </w:r>
      <w:r w:rsidR="005A6331">
        <w:rPr>
          <w:rFonts w:ascii="Muli" w:hAnsi="Muli"/>
        </w:rPr>
        <w:t xml:space="preserve"> muy bruscos en las ofertas</w:t>
      </w:r>
      <w:r w:rsidR="00C1494D">
        <w:rPr>
          <w:rFonts w:ascii="Muli" w:hAnsi="Muli"/>
        </w:rPr>
        <w:t>”.</w:t>
      </w:r>
    </w:p>
    <w:p w14:paraId="7089E96E" w14:textId="2DF2CC54" w:rsidR="00D0336B" w:rsidRDefault="00C1494D" w:rsidP="00542640">
      <w:pPr>
        <w:rPr>
          <w:rFonts w:ascii="Muli" w:hAnsi="Muli"/>
        </w:rPr>
      </w:pPr>
      <w:r>
        <w:rPr>
          <w:rFonts w:ascii="Muli" w:hAnsi="Muli"/>
        </w:rPr>
        <w:t>¿Y qué pasaría si el BCE baja tipos? S</w:t>
      </w:r>
      <w:r w:rsidR="00A049FD">
        <w:rPr>
          <w:rFonts w:ascii="Muli" w:hAnsi="Muli"/>
        </w:rPr>
        <w:t xml:space="preserve">i se produjera esa nueva reducción “sería muy bienvenida por parte del mercado hipotecario: el euríbor </w:t>
      </w:r>
      <w:r w:rsidR="00F83770">
        <w:rPr>
          <w:rFonts w:ascii="Muli" w:hAnsi="Muli"/>
        </w:rPr>
        <w:t>experimentaría más</w:t>
      </w:r>
      <w:r w:rsidR="00A049FD">
        <w:rPr>
          <w:rFonts w:ascii="Muli" w:hAnsi="Muli"/>
        </w:rPr>
        <w:t xml:space="preserve"> caídas e incluso los bancos podrían animarse a aplicar nuevas reducciones en los precios de sus hipotecas y, por tanto, para nosotros</w:t>
      </w:r>
      <w:r w:rsidR="00F83770">
        <w:rPr>
          <w:rFonts w:ascii="Muli" w:hAnsi="Muli"/>
        </w:rPr>
        <w:t xml:space="preserve"> </w:t>
      </w:r>
      <w:r w:rsidR="00A049FD">
        <w:rPr>
          <w:rFonts w:ascii="Muli" w:hAnsi="Muli"/>
        </w:rPr>
        <w:t>sería una gran noticia porque</w:t>
      </w:r>
      <w:r>
        <w:rPr>
          <w:rFonts w:ascii="Muli" w:hAnsi="Muli"/>
        </w:rPr>
        <w:t>, aunque ya es un buen momento para pedir una hipoteca; aún sería mejor”, finaliza el director de Hipotecas del comparador y asesor hipotecario iAhorro.</w:t>
      </w:r>
    </w:p>
    <w:p w14:paraId="5E633CCA" w14:textId="77777777" w:rsidR="00C5189B" w:rsidRDefault="00C5189B" w:rsidP="00C5189B"/>
    <w:p w14:paraId="3A0E5075" w14:textId="77777777" w:rsidR="00C5189B" w:rsidRDefault="00C5189B" w:rsidP="00C5189B">
      <w:pPr>
        <w:rPr>
          <w:rStyle w:val="contentpasted0"/>
          <w:rFonts w:ascii="Muli" w:hAnsi="Muli"/>
          <w:color w:val="000000"/>
          <w:lang w:val="es-ES_tradnl"/>
        </w:rPr>
      </w:pPr>
      <w:r>
        <w:rPr>
          <w:rStyle w:val="contentpasted0"/>
          <w:rFonts w:ascii="Muli" w:hAnsi="Muli"/>
          <w:b/>
          <w:bCs/>
          <w:color w:val="243962"/>
          <w:lang w:val="es-ES_tradnl"/>
        </w:rPr>
        <w:t>Si</w:t>
      </w:r>
      <w:r w:rsidRPr="0019551E">
        <w:rPr>
          <w:rStyle w:val="contentpasted0"/>
          <w:rFonts w:ascii="Muli" w:hAnsi="Muli"/>
          <w:b/>
          <w:bCs/>
          <w:color w:val="243962"/>
          <w:lang w:val="es-ES_tradnl"/>
        </w:rPr>
        <w:t xml:space="preserve"> necesita más información o declaraciones en formato audiovisual: </w:t>
      </w:r>
      <w:r w:rsidRPr="0019551E">
        <w:rPr>
          <w:rStyle w:val="contentpasted0"/>
          <w:rFonts w:ascii="Muli" w:hAnsi="Muli"/>
          <w:color w:val="000000"/>
          <w:lang w:val="es-ES_tradnl"/>
        </w:rPr>
        <w:t>Póngase en contacto con el departamento de Comunicación. </w:t>
      </w:r>
    </w:p>
    <w:p w14:paraId="52317198" w14:textId="77777777" w:rsidR="00C5189B" w:rsidRDefault="00C5189B" w:rsidP="00C5189B">
      <w:pPr>
        <w:rPr>
          <w:rStyle w:val="contentpasted0"/>
          <w:rFonts w:ascii="Muli" w:hAnsi="Muli"/>
          <w:color w:val="000000"/>
          <w:lang w:val="es-ES_tradnl"/>
        </w:rPr>
      </w:pPr>
    </w:p>
    <w:p w14:paraId="4DDFACEF" w14:textId="77777777" w:rsidR="00C5189B" w:rsidRDefault="00C5189B" w:rsidP="00C5189B">
      <w:pPr>
        <w:rPr>
          <w:rFonts w:ascii="Muli" w:hAnsi="Muli"/>
          <w:b/>
          <w:color w:val="243962"/>
          <w:lang w:val="es-ES_tradnl"/>
        </w:rPr>
      </w:pPr>
      <w:r>
        <w:rPr>
          <w:rFonts w:ascii="Muli" w:hAnsi="Muli"/>
          <w:b/>
          <w:color w:val="243962"/>
          <w:lang w:val="es-ES_tradnl"/>
        </w:rPr>
        <w:t xml:space="preserve">Sobre iAhorro </w:t>
      </w:r>
    </w:p>
    <w:p w14:paraId="18FA2910" w14:textId="77777777" w:rsidR="00C5189B" w:rsidRDefault="00C5189B" w:rsidP="00C5189B">
      <w:pPr>
        <w:rPr>
          <w:rFonts w:ascii="Muli" w:hAnsi="Muli"/>
        </w:rPr>
      </w:pPr>
      <w:r>
        <w:rPr>
          <w:rFonts w:ascii="Muli" w:hAnsi="Muli"/>
        </w:rPr>
        <w:lastRenderedPageBreak/>
        <w:t>iAhorro es el asesor hipotecario líder en España. El objetivo de la empresa es ayudar a los usuarios a contratar las hipotecas que mejor se adapten a sus necesidades.</w:t>
      </w:r>
    </w:p>
    <w:p w14:paraId="5006154A" w14:textId="77777777" w:rsidR="00C5189B" w:rsidRDefault="00C5189B" w:rsidP="00C5189B">
      <w:pPr>
        <w:rPr>
          <w:rFonts w:ascii="Muli" w:hAnsi="Muli"/>
        </w:rPr>
      </w:pPr>
      <w:r>
        <w:rPr>
          <w:rFonts w:ascii="Muli" w:hAnsi="Muli"/>
        </w:rPr>
        <w:t xml:space="preserve">iAhorro está certificada como empresa Intermediaria de Crédito Inmobiliario nºD185 por el Banco de España. iAhorro es una empresa independiente de las entidades financieras. Es propiedad del Grupo BC y está respaldado por el fondo Silver Lake. </w:t>
      </w:r>
    </w:p>
    <w:p w14:paraId="146BA6DB" w14:textId="77777777" w:rsidR="00C5189B" w:rsidRDefault="00C5189B" w:rsidP="00C5189B">
      <w:pPr>
        <w:rPr>
          <w:rFonts w:ascii="Muli" w:hAnsi="Muli"/>
        </w:rPr>
      </w:pPr>
      <w:r>
        <w:rPr>
          <w:rFonts w:ascii="Muli" w:hAnsi="Muli"/>
        </w:rPr>
        <w:t xml:space="preserve">Fundado en 1974 con sede en Madrid, Grupo BC es el proveedor líder de servicios y software para la gestión hipotecaria, intermediación hipotecaria online, soluciones legales (tramitación de reclamaciones y gestión de préstamos) y soluciones digitales para el sector financiero en España, Portugal, México, Brasil, Colombia, Chile y Perú. Grupo BC es líder del mercado en sus principales áreas de interés, con más de 500.000 expedientes hipotecarios procesados al año y 5.300 colaboradores. </w:t>
      </w:r>
    </w:p>
    <w:p w14:paraId="00ECD36A" w14:textId="77777777" w:rsidR="00C5189B" w:rsidRPr="00DD5BA3" w:rsidRDefault="00C5189B" w:rsidP="00C5189B">
      <w:pPr>
        <w:rPr>
          <w:rFonts w:ascii="Montserrat" w:hAnsi="Montserrat"/>
          <w:b/>
          <w:bCs/>
          <w:color w:val="243962"/>
        </w:rPr>
      </w:pPr>
      <w:r>
        <w:rPr>
          <w:rFonts w:ascii="Muli" w:hAnsi="Muli"/>
        </w:rPr>
        <w:t>Silver Lake es una firma global de inversión en compañías tecnológicas, con más de 101.000 millones de dólares en activos bajo gestión y capital comprometido y un equipo de profesionales en Norteamérica, Europa y Asia. Las empresas en la cartera de Silver Lake generan colectivamente más de 266.000 millones de dólares de facturación anual y emplean a más de 540.000 personas en todo el mundo.</w:t>
      </w:r>
    </w:p>
    <w:p w14:paraId="03E317A2" w14:textId="77777777" w:rsidR="00C5189B" w:rsidRDefault="00C5189B" w:rsidP="00C5189B"/>
    <w:sectPr w:rsidR="00C5189B" w:rsidSect="00C5189B">
      <w:headerReference w:type="default" r:id="rId12"/>
      <w:footerReference w:type="default" r:id="rId13"/>
      <w:pgSz w:w="11906" w:h="16838"/>
      <w:pgMar w:top="1417" w:right="1701" w:bottom="1417" w:left="1701" w:header="34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9AC45" w14:textId="77777777" w:rsidR="00140229" w:rsidRDefault="00140229" w:rsidP="00C5189B">
      <w:pPr>
        <w:spacing w:after="0" w:line="240" w:lineRule="auto"/>
      </w:pPr>
      <w:r>
        <w:separator/>
      </w:r>
    </w:p>
  </w:endnote>
  <w:endnote w:type="continuationSeparator" w:id="0">
    <w:p w14:paraId="2FE46D1D" w14:textId="77777777" w:rsidR="00140229" w:rsidRDefault="00140229" w:rsidP="00C518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uli">
    <w:altName w:val="Calibri"/>
    <w:charset w:val="00"/>
    <w:family w:val="auto"/>
    <w:pitch w:val="variable"/>
    <w:sig w:usb0="A00000FF" w:usb1="5000204B" w:usb2="00000000" w:usb3="00000000" w:csb0="00000193" w:csb1="00000000"/>
  </w:font>
  <w:font w:name="Montserrat">
    <w:panose1 w:val="00000500000000000000"/>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70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2556"/>
      <w:gridCol w:w="2556"/>
    </w:tblGrid>
    <w:tr w:rsidR="00C5189B" w:rsidRPr="003D3BAA" w14:paraId="3D504D1E" w14:textId="77777777" w:rsidTr="00583665">
      <w:trPr>
        <w:trHeight w:val="132"/>
      </w:trPr>
      <w:tc>
        <w:tcPr>
          <w:tcW w:w="1980" w:type="dxa"/>
          <w:vAlign w:val="center"/>
        </w:tcPr>
        <w:p w14:paraId="6B0D07B7" w14:textId="77777777" w:rsidR="00C5189B" w:rsidRDefault="00C5189B" w:rsidP="00C5189B">
          <w:pPr>
            <w:pStyle w:val="Piedepgina"/>
            <w:tabs>
              <w:tab w:val="clear" w:pos="4252"/>
              <w:tab w:val="clear" w:pos="8504"/>
              <w:tab w:val="left" w:pos="1036"/>
            </w:tabs>
            <w:rPr>
              <w:b/>
              <w:sz w:val="18"/>
              <w:szCs w:val="18"/>
            </w:rPr>
          </w:pPr>
          <w:r>
            <w:rPr>
              <w:noProof/>
            </w:rPr>
            <w:drawing>
              <wp:inline distT="0" distB="0" distL="0" distR="0" wp14:anchorId="4CAB564F" wp14:editId="641AE971">
                <wp:extent cx="1041991" cy="493123"/>
                <wp:effectExtent l="0" t="0" r="0" b="0"/>
                <wp:docPr id="42289635" name="Gráfico 42289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IP-marca-iahorro-v5.1-12.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103646" cy="522301"/>
                        </a:xfrm>
                        <a:prstGeom prst="rect">
                          <a:avLst/>
                        </a:prstGeom>
                      </pic:spPr>
                    </pic:pic>
                  </a:graphicData>
                </a:graphic>
              </wp:inline>
            </w:drawing>
          </w:r>
        </w:p>
      </w:tc>
      <w:tc>
        <w:tcPr>
          <w:tcW w:w="2556" w:type="dxa"/>
          <w:vAlign w:val="center"/>
        </w:tcPr>
        <w:p w14:paraId="6DEDF61B" w14:textId="77777777" w:rsidR="00C5189B" w:rsidRDefault="00C5189B" w:rsidP="00C5189B">
          <w:pPr>
            <w:pStyle w:val="Piedepgina"/>
            <w:tabs>
              <w:tab w:val="clear" w:pos="4252"/>
              <w:tab w:val="clear" w:pos="8504"/>
              <w:tab w:val="left" w:pos="1036"/>
            </w:tabs>
            <w:rPr>
              <w:b/>
              <w:sz w:val="18"/>
              <w:szCs w:val="18"/>
            </w:rPr>
          </w:pPr>
        </w:p>
        <w:p w14:paraId="5D07691C" w14:textId="77777777" w:rsidR="00C5189B" w:rsidRPr="00204B1C" w:rsidRDefault="00C5189B" w:rsidP="00C5189B">
          <w:pPr>
            <w:pStyle w:val="Piedepgina"/>
            <w:tabs>
              <w:tab w:val="clear" w:pos="4252"/>
              <w:tab w:val="clear" w:pos="8504"/>
              <w:tab w:val="left" w:pos="1036"/>
            </w:tabs>
            <w:rPr>
              <w:b/>
              <w:sz w:val="18"/>
              <w:szCs w:val="18"/>
            </w:rPr>
          </w:pPr>
          <w:r w:rsidRPr="009458B8">
            <w:rPr>
              <w:b/>
              <w:sz w:val="18"/>
              <w:szCs w:val="18"/>
            </w:rPr>
            <w:t>Laura Martínez</w:t>
          </w:r>
          <w:r w:rsidRPr="009458B8">
            <w:rPr>
              <w:sz w:val="18"/>
              <w:szCs w:val="18"/>
            </w:rPr>
            <w:t xml:space="preserve"> </w:t>
          </w:r>
          <w:r>
            <w:rPr>
              <w:sz w:val="18"/>
              <w:szCs w:val="18"/>
            </w:rPr>
            <w:t>– 686 688 757</w:t>
          </w:r>
          <w:r w:rsidRPr="009458B8">
            <w:rPr>
              <w:sz w:val="18"/>
              <w:szCs w:val="18"/>
            </w:rPr>
            <w:br/>
          </w:r>
          <w:hyperlink r:id="rId3" w:history="1">
            <w:r w:rsidRPr="009458B8">
              <w:rPr>
                <w:rStyle w:val="Hipervnculo"/>
                <w:sz w:val="18"/>
                <w:szCs w:val="18"/>
              </w:rPr>
              <w:t>laura.martinez@iahorro.com</w:t>
            </w:r>
          </w:hyperlink>
          <w:r w:rsidRPr="009458B8">
            <w:rPr>
              <w:sz w:val="18"/>
              <w:szCs w:val="18"/>
            </w:rPr>
            <w:t xml:space="preserve"> </w:t>
          </w:r>
        </w:p>
        <w:p w14:paraId="00584865" w14:textId="77777777" w:rsidR="00C5189B" w:rsidRPr="00204B1C" w:rsidRDefault="00C5189B" w:rsidP="00C5189B">
          <w:pPr>
            <w:pStyle w:val="Piedepgina"/>
            <w:tabs>
              <w:tab w:val="clear" w:pos="4252"/>
              <w:tab w:val="clear" w:pos="8504"/>
              <w:tab w:val="left" w:pos="1036"/>
            </w:tabs>
            <w:rPr>
              <w:b/>
              <w:sz w:val="18"/>
              <w:szCs w:val="18"/>
            </w:rPr>
          </w:pPr>
        </w:p>
      </w:tc>
      <w:tc>
        <w:tcPr>
          <w:tcW w:w="2556" w:type="dxa"/>
          <w:vAlign w:val="center"/>
        </w:tcPr>
        <w:p w14:paraId="55DDE969" w14:textId="77777777" w:rsidR="00C5189B" w:rsidRPr="00B34F7A" w:rsidRDefault="00C5189B" w:rsidP="00C5189B">
          <w:pPr>
            <w:pStyle w:val="Piedepgina"/>
            <w:tabs>
              <w:tab w:val="clear" w:pos="4252"/>
              <w:tab w:val="clear" w:pos="8504"/>
              <w:tab w:val="left" w:pos="1036"/>
            </w:tabs>
            <w:rPr>
              <w:b/>
              <w:sz w:val="18"/>
              <w:szCs w:val="18"/>
              <w:lang w:val="pt-PT"/>
            </w:rPr>
          </w:pPr>
          <w:r w:rsidRPr="00B34F7A">
            <w:rPr>
              <w:b/>
              <w:sz w:val="18"/>
              <w:szCs w:val="18"/>
              <w:lang w:val="pt-PT"/>
            </w:rPr>
            <w:t>Noelia Pérez</w:t>
          </w:r>
          <w:r w:rsidRPr="00B34F7A">
            <w:rPr>
              <w:sz w:val="18"/>
              <w:szCs w:val="18"/>
              <w:lang w:val="pt-PT"/>
            </w:rPr>
            <w:t xml:space="preserve"> – 6</w:t>
          </w:r>
          <w:r>
            <w:rPr>
              <w:sz w:val="18"/>
              <w:szCs w:val="18"/>
              <w:lang w:val="pt-PT"/>
            </w:rPr>
            <w:t>53</w:t>
          </w:r>
          <w:r w:rsidRPr="00B34F7A">
            <w:rPr>
              <w:sz w:val="18"/>
              <w:szCs w:val="18"/>
              <w:lang w:val="pt-PT"/>
            </w:rPr>
            <w:t xml:space="preserve"> </w:t>
          </w:r>
          <w:r>
            <w:rPr>
              <w:sz w:val="18"/>
              <w:szCs w:val="18"/>
              <w:lang w:val="pt-PT"/>
            </w:rPr>
            <w:t>247</w:t>
          </w:r>
          <w:r w:rsidRPr="00B34F7A">
            <w:rPr>
              <w:sz w:val="18"/>
              <w:szCs w:val="18"/>
              <w:lang w:val="pt-PT"/>
            </w:rPr>
            <w:t xml:space="preserve"> </w:t>
          </w:r>
          <w:r>
            <w:rPr>
              <w:sz w:val="18"/>
              <w:szCs w:val="18"/>
              <w:lang w:val="pt-PT"/>
            </w:rPr>
            <w:t>16</w:t>
          </w:r>
          <w:r w:rsidRPr="00B34F7A">
            <w:rPr>
              <w:sz w:val="18"/>
              <w:szCs w:val="18"/>
              <w:lang w:val="pt-PT"/>
            </w:rPr>
            <w:t>7</w:t>
          </w:r>
          <w:r w:rsidRPr="00B34F7A">
            <w:rPr>
              <w:sz w:val="18"/>
              <w:szCs w:val="18"/>
              <w:lang w:val="pt-PT"/>
            </w:rPr>
            <w:br/>
          </w:r>
          <w:r>
            <w:fldChar w:fldCharType="begin"/>
          </w:r>
          <w:r w:rsidRPr="003D3BAA">
            <w:rPr>
              <w:lang w:val="pt-PT"/>
            </w:rPr>
            <w:instrText>HYPERLINK "mailto:noelia.perez@iahorro.com"</w:instrText>
          </w:r>
          <w:r>
            <w:fldChar w:fldCharType="separate"/>
          </w:r>
          <w:r w:rsidRPr="00C3103F">
            <w:rPr>
              <w:rStyle w:val="Hipervnculo"/>
              <w:sz w:val="18"/>
              <w:szCs w:val="18"/>
              <w:lang w:val="pt-PT"/>
            </w:rPr>
            <w:t>noelia.perez@iahorro.com</w:t>
          </w:r>
          <w:r>
            <w:fldChar w:fldCharType="end"/>
          </w:r>
        </w:p>
      </w:tc>
    </w:tr>
  </w:tbl>
  <w:p w14:paraId="6316A2AE" w14:textId="77777777" w:rsidR="00C5189B" w:rsidRPr="003D3BAA" w:rsidRDefault="00C5189B">
    <w:pPr>
      <w:pStyle w:val="Piedepgina"/>
      <w:rPr>
        <w:lang w:val="pt-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1F013D" w14:textId="77777777" w:rsidR="00140229" w:rsidRDefault="00140229" w:rsidP="00C5189B">
      <w:pPr>
        <w:spacing w:after="0" w:line="240" w:lineRule="auto"/>
      </w:pPr>
      <w:r>
        <w:separator/>
      </w:r>
    </w:p>
  </w:footnote>
  <w:footnote w:type="continuationSeparator" w:id="0">
    <w:p w14:paraId="557800DF" w14:textId="77777777" w:rsidR="00140229" w:rsidRDefault="00140229" w:rsidP="00C518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D9005" w14:textId="329AB81D" w:rsidR="00C5189B" w:rsidRDefault="00C5189B" w:rsidP="00324046">
    <w:pPr>
      <w:pStyle w:val="Encabezado"/>
      <w:tabs>
        <w:tab w:val="clear" w:pos="4252"/>
        <w:tab w:val="clear" w:pos="8504"/>
        <w:tab w:val="left" w:pos="3415"/>
        <w:tab w:val="left" w:pos="3492"/>
      </w:tabs>
    </w:pPr>
    <w:r w:rsidRPr="00942871">
      <w:rPr>
        <w:noProof/>
      </w:rPr>
      <w:drawing>
        <wp:anchor distT="0" distB="0" distL="114300" distR="114300" simplePos="0" relativeHeight="251659264" behindDoc="0" locked="0" layoutInCell="1" allowOverlap="1" wp14:anchorId="77256632" wp14:editId="70CE82B3">
          <wp:simplePos x="0" y="0"/>
          <wp:positionH relativeFrom="margin">
            <wp:posOffset>4072890</wp:posOffset>
          </wp:positionH>
          <wp:positionV relativeFrom="topMargin">
            <wp:posOffset>333375</wp:posOffset>
          </wp:positionV>
          <wp:extent cx="1509395" cy="714375"/>
          <wp:effectExtent l="0" t="0" r="0" b="0"/>
          <wp:wrapSquare wrapText="bothSides"/>
          <wp:docPr id="621757066" name="Imagen 621757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09395" cy="714375"/>
                  </a:xfrm>
                  <a:prstGeom prst="rect">
                    <a:avLst/>
                  </a:prstGeom>
                </pic:spPr>
              </pic:pic>
            </a:graphicData>
          </a:graphic>
        </wp:anchor>
      </w:drawing>
    </w:r>
    <w:r>
      <w:rPr>
        <w:noProof/>
      </w:rPr>
      <w:drawing>
        <wp:inline distT="0" distB="0" distL="0" distR="0" wp14:anchorId="3D78F4A7" wp14:editId="644E8C99">
          <wp:extent cx="1945758" cy="921312"/>
          <wp:effectExtent l="0" t="0" r="0" b="0"/>
          <wp:docPr id="516178169" name="Gráfico 516178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IP-marca-iahorro-v5.1-12.svg"/>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1945758" cy="92131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AF55E2"/>
    <w:multiLevelType w:val="hybridMultilevel"/>
    <w:tmpl w:val="1FDA78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4279682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89B"/>
    <w:rsid w:val="00034F0A"/>
    <w:rsid w:val="000A059B"/>
    <w:rsid w:val="000D6ACB"/>
    <w:rsid w:val="001174C6"/>
    <w:rsid w:val="00133034"/>
    <w:rsid w:val="00140229"/>
    <w:rsid w:val="00142A93"/>
    <w:rsid w:val="0014369C"/>
    <w:rsid w:val="00154705"/>
    <w:rsid w:val="001B0F85"/>
    <w:rsid w:val="001D49B7"/>
    <w:rsid w:val="001E1409"/>
    <w:rsid w:val="00253DBD"/>
    <w:rsid w:val="00297F4C"/>
    <w:rsid w:val="002F26EB"/>
    <w:rsid w:val="00324046"/>
    <w:rsid w:val="00381D98"/>
    <w:rsid w:val="003A047C"/>
    <w:rsid w:val="003C55F1"/>
    <w:rsid w:val="003D3BAA"/>
    <w:rsid w:val="003D4E7A"/>
    <w:rsid w:val="003D64C2"/>
    <w:rsid w:val="00500803"/>
    <w:rsid w:val="00523E3A"/>
    <w:rsid w:val="00542640"/>
    <w:rsid w:val="005517D3"/>
    <w:rsid w:val="00555228"/>
    <w:rsid w:val="005A6331"/>
    <w:rsid w:val="005B07B4"/>
    <w:rsid w:val="005C533C"/>
    <w:rsid w:val="00600F48"/>
    <w:rsid w:val="006479A5"/>
    <w:rsid w:val="00650472"/>
    <w:rsid w:val="006653D4"/>
    <w:rsid w:val="006A28A6"/>
    <w:rsid w:val="00737685"/>
    <w:rsid w:val="007723C8"/>
    <w:rsid w:val="00785DD0"/>
    <w:rsid w:val="007C42CB"/>
    <w:rsid w:val="007E2F21"/>
    <w:rsid w:val="007F2488"/>
    <w:rsid w:val="00884EB8"/>
    <w:rsid w:val="008B6949"/>
    <w:rsid w:val="008D6BF5"/>
    <w:rsid w:val="00930BF4"/>
    <w:rsid w:val="009471B0"/>
    <w:rsid w:val="00975CC7"/>
    <w:rsid w:val="009A7155"/>
    <w:rsid w:val="009B105D"/>
    <w:rsid w:val="009C08F9"/>
    <w:rsid w:val="00A049FD"/>
    <w:rsid w:val="00A15145"/>
    <w:rsid w:val="00A17FC9"/>
    <w:rsid w:val="00A21534"/>
    <w:rsid w:val="00A606E7"/>
    <w:rsid w:val="00A878DC"/>
    <w:rsid w:val="00AB2499"/>
    <w:rsid w:val="00AD35BC"/>
    <w:rsid w:val="00B22DFE"/>
    <w:rsid w:val="00B407EC"/>
    <w:rsid w:val="00B839FF"/>
    <w:rsid w:val="00BB4AA3"/>
    <w:rsid w:val="00BD0C78"/>
    <w:rsid w:val="00BD1D75"/>
    <w:rsid w:val="00BE365A"/>
    <w:rsid w:val="00C1494D"/>
    <w:rsid w:val="00C37091"/>
    <w:rsid w:val="00C404E9"/>
    <w:rsid w:val="00C5189B"/>
    <w:rsid w:val="00C745D1"/>
    <w:rsid w:val="00C95E57"/>
    <w:rsid w:val="00CA1302"/>
    <w:rsid w:val="00CB4CB5"/>
    <w:rsid w:val="00CD5D4E"/>
    <w:rsid w:val="00CE5A10"/>
    <w:rsid w:val="00CF5431"/>
    <w:rsid w:val="00D0336B"/>
    <w:rsid w:val="00D04DB0"/>
    <w:rsid w:val="00D258A9"/>
    <w:rsid w:val="00D83D13"/>
    <w:rsid w:val="00DB5A9D"/>
    <w:rsid w:val="00DC747C"/>
    <w:rsid w:val="00E41712"/>
    <w:rsid w:val="00E46388"/>
    <w:rsid w:val="00E738CF"/>
    <w:rsid w:val="00E810C1"/>
    <w:rsid w:val="00E82CB0"/>
    <w:rsid w:val="00EF2A12"/>
    <w:rsid w:val="00F52520"/>
    <w:rsid w:val="00F83770"/>
    <w:rsid w:val="00FC7F99"/>
    <w:rsid w:val="00FF01A8"/>
    <w:rsid w:val="00FF7A2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199BC"/>
  <w15:chartTrackingRefBased/>
  <w15:docId w15:val="{C296FA73-7518-4C93-951F-9F009142D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189B"/>
  </w:style>
  <w:style w:type="paragraph" w:styleId="Ttulo1">
    <w:name w:val="heading 1"/>
    <w:basedOn w:val="Normal"/>
    <w:next w:val="Normal"/>
    <w:link w:val="Ttulo1Car"/>
    <w:uiPriority w:val="9"/>
    <w:qFormat/>
    <w:rsid w:val="00C518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518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5189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5189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5189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5189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5189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5189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5189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5189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5189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5189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5189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5189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5189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5189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5189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5189B"/>
    <w:rPr>
      <w:rFonts w:eastAsiaTheme="majorEastAsia" w:cstheme="majorBidi"/>
      <w:color w:val="272727" w:themeColor="text1" w:themeTint="D8"/>
    </w:rPr>
  </w:style>
  <w:style w:type="paragraph" w:styleId="Ttulo">
    <w:name w:val="Title"/>
    <w:basedOn w:val="Normal"/>
    <w:next w:val="Normal"/>
    <w:link w:val="TtuloCar"/>
    <w:uiPriority w:val="10"/>
    <w:qFormat/>
    <w:rsid w:val="00C518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5189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5189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5189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5189B"/>
    <w:pPr>
      <w:spacing w:before="160"/>
      <w:jc w:val="center"/>
    </w:pPr>
    <w:rPr>
      <w:i/>
      <w:iCs/>
      <w:color w:val="404040" w:themeColor="text1" w:themeTint="BF"/>
    </w:rPr>
  </w:style>
  <w:style w:type="character" w:customStyle="1" w:styleId="CitaCar">
    <w:name w:val="Cita Car"/>
    <w:basedOn w:val="Fuentedeprrafopredeter"/>
    <w:link w:val="Cita"/>
    <w:uiPriority w:val="29"/>
    <w:rsid w:val="00C5189B"/>
    <w:rPr>
      <w:i/>
      <w:iCs/>
      <w:color w:val="404040" w:themeColor="text1" w:themeTint="BF"/>
    </w:rPr>
  </w:style>
  <w:style w:type="paragraph" w:styleId="Prrafodelista">
    <w:name w:val="List Paragraph"/>
    <w:basedOn w:val="Normal"/>
    <w:uiPriority w:val="34"/>
    <w:qFormat/>
    <w:rsid w:val="00C5189B"/>
    <w:pPr>
      <w:ind w:left="720"/>
      <w:contextualSpacing/>
    </w:pPr>
  </w:style>
  <w:style w:type="character" w:styleId="nfasisintenso">
    <w:name w:val="Intense Emphasis"/>
    <w:basedOn w:val="Fuentedeprrafopredeter"/>
    <w:uiPriority w:val="21"/>
    <w:qFormat/>
    <w:rsid w:val="00C5189B"/>
    <w:rPr>
      <w:i/>
      <w:iCs/>
      <w:color w:val="0F4761" w:themeColor="accent1" w:themeShade="BF"/>
    </w:rPr>
  </w:style>
  <w:style w:type="paragraph" w:styleId="Citadestacada">
    <w:name w:val="Intense Quote"/>
    <w:basedOn w:val="Normal"/>
    <w:next w:val="Normal"/>
    <w:link w:val="CitadestacadaCar"/>
    <w:uiPriority w:val="30"/>
    <w:qFormat/>
    <w:rsid w:val="00C518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5189B"/>
    <w:rPr>
      <w:i/>
      <w:iCs/>
      <w:color w:val="0F4761" w:themeColor="accent1" w:themeShade="BF"/>
    </w:rPr>
  </w:style>
  <w:style w:type="character" w:styleId="Referenciaintensa">
    <w:name w:val="Intense Reference"/>
    <w:basedOn w:val="Fuentedeprrafopredeter"/>
    <w:uiPriority w:val="32"/>
    <w:qFormat/>
    <w:rsid w:val="00C5189B"/>
    <w:rPr>
      <w:b/>
      <w:bCs/>
      <w:smallCaps/>
      <w:color w:val="0F4761" w:themeColor="accent1" w:themeShade="BF"/>
      <w:spacing w:val="5"/>
    </w:rPr>
  </w:style>
  <w:style w:type="paragraph" w:styleId="Encabezado">
    <w:name w:val="header"/>
    <w:basedOn w:val="Normal"/>
    <w:link w:val="EncabezadoCar"/>
    <w:uiPriority w:val="99"/>
    <w:unhideWhenUsed/>
    <w:rsid w:val="00C5189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5189B"/>
  </w:style>
  <w:style w:type="paragraph" w:styleId="Piedepgina">
    <w:name w:val="footer"/>
    <w:basedOn w:val="Normal"/>
    <w:link w:val="PiedepginaCar"/>
    <w:uiPriority w:val="99"/>
    <w:unhideWhenUsed/>
    <w:rsid w:val="00C5189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5189B"/>
  </w:style>
  <w:style w:type="character" w:customStyle="1" w:styleId="contentpasted0">
    <w:name w:val="contentpasted0"/>
    <w:basedOn w:val="Fuentedeprrafopredeter"/>
    <w:rsid w:val="00C5189B"/>
  </w:style>
  <w:style w:type="character" w:styleId="Hipervnculo">
    <w:name w:val="Hyperlink"/>
    <w:basedOn w:val="Fuentedeprrafopredeter"/>
    <w:uiPriority w:val="99"/>
    <w:unhideWhenUsed/>
    <w:rsid w:val="00C5189B"/>
    <w:rPr>
      <w:color w:val="0000FF"/>
      <w:u w:val="single"/>
    </w:rPr>
  </w:style>
  <w:style w:type="table" w:styleId="Tablaconcuadrcula">
    <w:name w:val="Table Grid"/>
    <w:basedOn w:val="Tablanormal"/>
    <w:uiPriority w:val="39"/>
    <w:rsid w:val="00C518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E41712"/>
    <w:rPr>
      <w:sz w:val="16"/>
      <w:szCs w:val="16"/>
    </w:rPr>
  </w:style>
  <w:style w:type="paragraph" w:styleId="Textocomentario">
    <w:name w:val="annotation text"/>
    <w:basedOn w:val="Normal"/>
    <w:link w:val="TextocomentarioCar"/>
    <w:uiPriority w:val="99"/>
    <w:unhideWhenUsed/>
    <w:rsid w:val="00E41712"/>
    <w:pPr>
      <w:spacing w:line="240" w:lineRule="auto"/>
    </w:pPr>
    <w:rPr>
      <w:sz w:val="20"/>
      <w:szCs w:val="20"/>
    </w:rPr>
  </w:style>
  <w:style w:type="character" w:customStyle="1" w:styleId="TextocomentarioCar">
    <w:name w:val="Texto comentario Car"/>
    <w:basedOn w:val="Fuentedeprrafopredeter"/>
    <w:link w:val="Textocomentario"/>
    <w:uiPriority w:val="99"/>
    <w:rsid w:val="00E41712"/>
    <w:rPr>
      <w:sz w:val="20"/>
      <w:szCs w:val="20"/>
    </w:rPr>
  </w:style>
  <w:style w:type="paragraph" w:styleId="Asuntodelcomentario">
    <w:name w:val="annotation subject"/>
    <w:basedOn w:val="Textocomentario"/>
    <w:next w:val="Textocomentario"/>
    <w:link w:val="AsuntodelcomentarioCar"/>
    <w:uiPriority w:val="99"/>
    <w:semiHidden/>
    <w:unhideWhenUsed/>
    <w:rsid w:val="00E41712"/>
    <w:rPr>
      <w:b/>
      <w:bCs/>
    </w:rPr>
  </w:style>
  <w:style w:type="character" w:customStyle="1" w:styleId="AsuntodelcomentarioCar">
    <w:name w:val="Asunto del comentario Car"/>
    <w:basedOn w:val="TextocomentarioCar"/>
    <w:link w:val="Asuntodelcomentario"/>
    <w:uiPriority w:val="99"/>
    <w:semiHidden/>
    <w:rsid w:val="00E4171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8416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mailto:laura.martinez@iahorro.com" TargetMode="External"/><Relationship Id="rId2" Type="http://schemas.openxmlformats.org/officeDocument/2006/relationships/image" Target="media/image5.sv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5.svg"/><Relationship Id="rId2" Type="http://schemas.openxmlformats.org/officeDocument/2006/relationships/image" Target="media/image4.png"/><Relationship Id="rId1" Type="http://schemas.openxmlformats.org/officeDocument/2006/relationships/image" Target="media/image3.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c089af1-5b15-490c-82f7-e78eb5bbe581" xsi:nil="true"/>
    <lcf76f155ced4ddcb4097134ff3c332f xmlns="d5260bb1-f0d0-4859-aae3-9c53545435c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1D7C0CBF4D21448993B223853350C29" ma:contentTypeVersion="13" ma:contentTypeDescription="Crear nuevo documento." ma:contentTypeScope="" ma:versionID="ee9baeac4f058ba793454c9a9ed72d1e">
  <xsd:schema xmlns:xsd="http://www.w3.org/2001/XMLSchema" xmlns:xs="http://www.w3.org/2001/XMLSchema" xmlns:p="http://schemas.microsoft.com/office/2006/metadata/properties" xmlns:ns2="d5260bb1-f0d0-4859-aae3-9c53545435c6" xmlns:ns3="bc089af1-5b15-490c-82f7-e78eb5bbe581" targetNamespace="http://schemas.microsoft.com/office/2006/metadata/properties" ma:root="true" ma:fieldsID="15e0b3f74cc4e70f5b80a93f3387b59e" ns2:_="" ns3:_="">
    <xsd:import namespace="d5260bb1-f0d0-4859-aae3-9c53545435c6"/>
    <xsd:import namespace="bc089af1-5b15-490c-82f7-e78eb5bbe58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260bb1-f0d0-4859-aae3-9c53545435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Etiquetas de imagen" ma:readOnly="false" ma:fieldId="{5cf76f15-5ced-4ddc-b409-7134ff3c332f}" ma:taxonomyMulti="true" ma:sspId="873611d4-5b1f-4ad6-801b-774cb593197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089af1-5b15-490c-82f7-e78eb5bbe58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a3a9ad4-050d-4049-b280-9813ddc1be7c}" ma:internalName="TaxCatchAll" ma:showField="CatchAllData" ma:web="bc089af1-5b15-490c-82f7-e78eb5bbe5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6E48F0-1810-45C3-B41D-1473A008FBA9}">
  <ds:schemaRefs>
    <ds:schemaRef ds:uri="http://schemas.microsoft.com/office/2006/metadata/properties"/>
    <ds:schemaRef ds:uri="http://schemas.microsoft.com/office/infopath/2007/PartnerControls"/>
    <ds:schemaRef ds:uri="bc089af1-5b15-490c-82f7-e78eb5bbe581"/>
    <ds:schemaRef ds:uri="d5260bb1-f0d0-4859-aae3-9c53545435c6"/>
  </ds:schemaRefs>
</ds:datastoreItem>
</file>

<file path=customXml/itemProps2.xml><?xml version="1.0" encoding="utf-8"?>
<ds:datastoreItem xmlns:ds="http://schemas.openxmlformats.org/officeDocument/2006/customXml" ds:itemID="{7ECA4805-6444-4808-9708-B379F52D33F3}">
  <ds:schemaRefs>
    <ds:schemaRef ds:uri="http://schemas.microsoft.com/sharepoint/v3/contenttype/forms"/>
  </ds:schemaRefs>
</ds:datastoreItem>
</file>

<file path=customXml/itemProps3.xml><?xml version="1.0" encoding="utf-8"?>
<ds:datastoreItem xmlns:ds="http://schemas.openxmlformats.org/officeDocument/2006/customXml" ds:itemID="{9CB4A1CA-3A7B-463E-9863-0CB95A0692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260bb1-f0d0-4859-aae3-9c53545435c6"/>
    <ds:schemaRef ds:uri="bc089af1-5b15-490c-82f7-e78eb5bbe5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4</Pages>
  <Words>1240</Words>
  <Characters>6821</Characters>
  <Application>Microsoft Office Word</Application>
  <DocSecurity>0</DocSecurity>
  <Lines>56</Lines>
  <Paragraphs>16</Paragraphs>
  <ScaleCrop>false</ScaleCrop>
  <Company/>
  <LinksUpToDate>false</LinksUpToDate>
  <CharactersWithSpaces>8045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Noelia Perez</dc:creator>
  <cp:keywords/>
  <dc:description/>
  <cp:lastModifiedBy>Nerea Gastesi</cp:lastModifiedBy>
  <cp:revision>84</cp:revision>
  <dcterms:created xsi:type="dcterms:W3CDTF">2025-03-24T18:00:00Z</dcterms:created>
  <dcterms:modified xsi:type="dcterms:W3CDTF">2025-03-31T09:16:00Z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0x010100F1D7C0CBF4D21448993B223853350C29</vt:lpwstr>
  </property>
</Properties>
</file>