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D4BBB" w14:textId="38AF0D91" w:rsidR="00AF352F" w:rsidRPr="001C1B23" w:rsidRDefault="00C76DEF" w:rsidP="00AF352F">
      <w:pPr>
        <w:jc w:val="center"/>
        <w:rPr>
          <w:rFonts w:ascii="Muli" w:hAnsi="Muli" w:cstheme="minorHAnsi"/>
          <w:b/>
          <w:bCs/>
          <w:sz w:val="20"/>
          <w:szCs w:val="20"/>
        </w:rPr>
      </w:pPr>
      <w:r>
        <w:rPr>
          <w:rFonts w:ascii="Muli" w:hAnsi="Muli" w:cstheme="minorHAnsi"/>
          <w:b/>
          <w:bCs/>
          <w:sz w:val="20"/>
          <w:szCs w:val="20"/>
        </w:rPr>
        <w:t xml:space="preserve">La brecha entre comunidades </w:t>
      </w:r>
      <w:r w:rsidR="000F6733">
        <w:rPr>
          <w:rFonts w:ascii="Muli" w:hAnsi="Muli" w:cstheme="minorHAnsi"/>
          <w:b/>
          <w:bCs/>
          <w:sz w:val="20"/>
          <w:szCs w:val="20"/>
        </w:rPr>
        <w:t xml:space="preserve">autónomas </w:t>
      </w:r>
      <w:r>
        <w:rPr>
          <w:rFonts w:ascii="Muli" w:hAnsi="Muli" w:cstheme="minorHAnsi"/>
          <w:b/>
          <w:bCs/>
          <w:sz w:val="20"/>
          <w:szCs w:val="20"/>
        </w:rPr>
        <w:t>se agrava</w:t>
      </w:r>
    </w:p>
    <w:p w14:paraId="0E87FF4A" w14:textId="0C0D9D87" w:rsidR="00C76DEF" w:rsidRDefault="00C76DEF" w:rsidP="009B22F0">
      <w:pPr>
        <w:spacing w:line="256" w:lineRule="auto"/>
        <w:jc w:val="center"/>
        <w:rPr>
          <w:rFonts w:ascii="Montserrat" w:hAnsi="Montserrat"/>
          <w:b/>
          <w:bCs/>
          <w:color w:val="243962"/>
          <w:sz w:val="32"/>
          <w:szCs w:val="32"/>
        </w:rPr>
      </w:pPr>
      <w:bookmarkStart w:id="0" w:name="_Hlk215137328"/>
      <w:r w:rsidRPr="00C76DEF">
        <w:rPr>
          <w:rFonts w:ascii="Montserrat" w:hAnsi="Montserrat"/>
          <w:b/>
          <w:bCs/>
          <w:color w:val="243962"/>
          <w:sz w:val="32"/>
          <w:szCs w:val="32"/>
        </w:rPr>
        <w:t xml:space="preserve">El dinero prestado por los bancos para comprar vivienda </w:t>
      </w:r>
      <w:r>
        <w:rPr>
          <w:rFonts w:ascii="Montserrat" w:hAnsi="Montserrat"/>
          <w:b/>
          <w:bCs/>
          <w:color w:val="243962"/>
          <w:sz w:val="32"/>
          <w:szCs w:val="32"/>
        </w:rPr>
        <w:t xml:space="preserve">en 2026 </w:t>
      </w:r>
      <w:r w:rsidRPr="00C76DEF">
        <w:rPr>
          <w:rFonts w:ascii="Montserrat" w:hAnsi="Montserrat"/>
          <w:b/>
          <w:bCs/>
          <w:color w:val="243962"/>
          <w:sz w:val="32"/>
          <w:szCs w:val="32"/>
        </w:rPr>
        <w:t>crece un 17,4%, mientras la concesión de hipotecas aumenta</w:t>
      </w:r>
      <w:r>
        <w:rPr>
          <w:rFonts w:ascii="Montserrat" w:hAnsi="Montserrat"/>
          <w:b/>
          <w:bCs/>
          <w:color w:val="243962"/>
          <w:sz w:val="32"/>
          <w:szCs w:val="32"/>
        </w:rPr>
        <w:t xml:space="preserve"> solo</w:t>
      </w:r>
      <w:r w:rsidRPr="00C76DEF">
        <w:rPr>
          <w:rFonts w:ascii="Montserrat" w:hAnsi="Montserrat"/>
          <w:b/>
          <w:bCs/>
          <w:color w:val="243962"/>
          <w:sz w:val="32"/>
          <w:szCs w:val="32"/>
        </w:rPr>
        <w:t xml:space="preserve"> un </w:t>
      </w:r>
      <w:r w:rsidR="008530AB">
        <w:rPr>
          <w:rFonts w:ascii="Montserrat" w:hAnsi="Montserrat"/>
          <w:b/>
          <w:bCs/>
          <w:color w:val="243962"/>
          <w:sz w:val="32"/>
          <w:szCs w:val="32"/>
        </w:rPr>
        <w:t>6,5</w:t>
      </w:r>
      <w:r w:rsidRPr="00C76DEF">
        <w:rPr>
          <w:rFonts w:ascii="Montserrat" w:hAnsi="Montserrat"/>
          <w:b/>
          <w:bCs/>
          <w:color w:val="243962"/>
          <w:sz w:val="32"/>
          <w:szCs w:val="32"/>
        </w:rPr>
        <w:t>%</w:t>
      </w:r>
    </w:p>
    <w:bookmarkEnd w:id="0"/>
    <w:p w14:paraId="347A456F" w14:textId="3824A67A" w:rsidR="00E263FD" w:rsidRDefault="004D60BD" w:rsidP="002A0945">
      <w:pPr>
        <w:pStyle w:val="Prrafodelista"/>
        <w:numPr>
          <w:ilvl w:val="0"/>
          <w:numId w:val="1"/>
        </w:numPr>
        <w:spacing w:line="256" w:lineRule="auto"/>
        <w:ind w:left="567" w:hanging="207"/>
        <w:rPr>
          <w:rFonts w:ascii="Muli" w:hAnsi="Muli"/>
        </w:rPr>
      </w:pPr>
      <w:r>
        <w:rPr>
          <w:rFonts w:ascii="Muli" w:hAnsi="Muli"/>
        </w:rPr>
        <w:t xml:space="preserve">El importe medio de las nuevas hipotecas </w:t>
      </w:r>
      <w:r w:rsidR="000F6733">
        <w:rPr>
          <w:rFonts w:ascii="Muli" w:hAnsi="Muli"/>
        </w:rPr>
        <w:t xml:space="preserve">firmadas durante el primer semestre de 2026 </w:t>
      </w:r>
      <w:r>
        <w:rPr>
          <w:rFonts w:ascii="Muli" w:hAnsi="Muli"/>
        </w:rPr>
        <w:t xml:space="preserve">alcanza los 174.061 euros, un 9,8% más que </w:t>
      </w:r>
      <w:r w:rsidR="000F6733">
        <w:rPr>
          <w:rFonts w:ascii="Muli" w:hAnsi="Muli"/>
        </w:rPr>
        <w:t>un año antes</w:t>
      </w:r>
      <w:r>
        <w:rPr>
          <w:rFonts w:ascii="Muli" w:hAnsi="Muli"/>
        </w:rPr>
        <w:t>, mientras el capital concedido asciende a 45.</w:t>
      </w:r>
      <w:r w:rsidR="00933AF1" w:rsidRPr="004362C6">
        <w:rPr>
          <w:rFonts w:ascii="Muli" w:hAnsi="Muli"/>
          <w:color w:val="000000"/>
        </w:rPr>
        <w:t>190</w:t>
      </w:r>
      <w:r>
        <w:rPr>
          <w:rFonts w:ascii="Muli" w:hAnsi="Muli"/>
        </w:rPr>
        <w:t xml:space="preserve"> millones de euros. </w:t>
      </w:r>
    </w:p>
    <w:p w14:paraId="18694BE7" w14:textId="1D9C5775" w:rsidR="00AF352F" w:rsidRDefault="004D60BD" w:rsidP="002A0945">
      <w:pPr>
        <w:pStyle w:val="Prrafodelista"/>
        <w:numPr>
          <w:ilvl w:val="0"/>
          <w:numId w:val="1"/>
        </w:numPr>
        <w:spacing w:line="256" w:lineRule="auto"/>
        <w:ind w:left="567" w:hanging="207"/>
        <w:rPr>
          <w:rFonts w:ascii="Muli" w:hAnsi="Muli"/>
        </w:rPr>
      </w:pPr>
      <w:r>
        <w:rPr>
          <w:rFonts w:ascii="Muli" w:hAnsi="Muli"/>
        </w:rPr>
        <w:t>La cuota media</w:t>
      </w:r>
      <w:r w:rsidR="001603CB">
        <w:rPr>
          <w:rFonts w:ascii="Muli" w:hAnsi="Muli"/>
        </w:rPr>
        <w:t xml:space="preserve"> que pagan las familias</w:t>
      </w:r>
      <w:r>
        <w:rPr>
          <w:rFonts w:ascii="Muli" w:hAnsi="Muli"/>
        </w:rPr>
        <w:t xml:space="preserve"> alcanza los 825 euros mensuales y absorbe el 34,3% </w:t>
      </w:r>
      <w:r w:rsidR="001603CB">
        <w:rPr>
          <w:rFonts w:ascii="Muli" w:hAnsi="Muli"/>
        </w:rPr>
        <w:t>de sus ingresos</w:t>
      </w:r>
      <w:r>
        <w:rPr>
          <w:rFonts w:ascii="Muli" w:hAnsi="Muli"/>
        </w:rPr>
        <w:t xml:space="preserve">; </w:t>
      </w:r>
      <w:r w:rsidR="00EB5137">
        <w:rPr>
          <w:rFonts w:ascii="Muli" w:hAnsi="Muli"/>
        </w:rPr>
        <w:t>este</w:t>
      </w:r>
      <w:r>
        <w:rPr>
          <w:rFonts w:ascii="Muli" w:hAnsi="Muli"/>
        </w:rPr>
        <w:t xml:space="preserve"> esfuerzo se dispara al 55,8% en Baleares y se sitúa en el 23,8% en Extremadura. </w:t>
      </w:r>
    </w:p>
    <w:p w14:paraId="1A91A1B4" w14:textId="07248E35" w:rsidR="00AF352F" w:rsidRDefault="00E263FD" w:rsidP="000C56F8">
      <w:pPr>
        <w:pStyle w:val="Prrafodelista"/>
        <w:numPr>
          <w:ilvl w:val="0"/>
          <w:numId w:val="1"/>
        </w:numPr>
        <w:spacing w:line="256" w:lineRule="auto"/>
        <w:ind w:left="567" w:hanging="207"/>
        <w:rPr>
          <w:rFonts w:ascii="Muli" w:hAnsi="Muli"/>
        </w:rPr>
      </w:pPr>
      <w:r>
        <w:rPr>
          <w:rFonts w:ascii="Muli" w:hAnsi="Muli"/>
        </w:rPr>
        <w:t>Laura Mar</w:t>
      </w:r>
      <w:r w:rsidR="0003265A">
        <w:rPr>
          <w:rFonts w:ascii="Muli" w:hAnsi="Muli"/>
        </w:rPr>
        <w:t>t</w:t>
      </w:r>
      <w:r>
        <w:rPr>
          <w:rFonts w:ascii="Muli" w:hAnsi="Muli"/>
        </w:rPr>
        <w:t xml:space="preserve">ínez, directora de Comunicación </w:t>
      </w:r>
      <w:r w:rsidR="00FF3AC9">
        <w:rPr>
          <w:rFonts w:ascii="Muli" w:hAnsi="Muli"/>
        </w:rPr>
        <w:t xml:space="preserve">y portavoz </w:t>
      </w:r>
      <w:r>
        <w:rPr>
          <w:rFonts w:ascii="Muli" w:hAnsi="Muli"/>
        </w:rPr>
        <w:t xml:space="preserve">de iAhorro, </w:t>
      </w:r>
      <w:r w:rsidR="004D60BD">
        <w:rPr>
          <w:rFonts w:ascii="Muli" w:hAnsi="Muli"/>
        </w:rPr>
        <w:t xml:space="preserve">advierte de que </w:t>
      </w:r>
      <w:r w:rsidR="000D52B0">
        <w:rPr>
          <w:rStyle w:val="contentpasted0"/>
          <w:rFonts w:ascii="Muli" w:hAnsi="Muli"/>
          <w:color w:val="000000"/>
          <w:lang w:val="es-ES_tradnl"/>
        </w:rPr>
        <w:t>rebasar ese umbral puede tensionar las finanzas familiares</w:t>
      </w:r>
      <w:r w:rsidR="004D60BD">
        <w:rPr>
          <w:rFonts w:ascii="Muli" w:hAnsi="Muli"/>
        </w:rPr>
        <w:t xml:space="preserve">.  </w:t>
      </w:r>
      <w:r>
        <w:rPr>
          <w:rFonts w:ascii="Muli" w:hAnsi="Muli"/>
        </w:rPr>
        <w:t xml:space="preserve"> </w:t>
      </w:r>
    </w:p>
    <w:p w14:paraId="076DF749" w14:textId="77777777" w:rsidR="000C56F8" w:rsidRPr="000C56F8" w:rsidRDefault="000C56F8" w:rsidP="000C56F8">
      <w:pPr>
        <w:pStyle w:val="Prrafodelista"/>
        <w:spacing w:line="256" w:lineRule="auto"/>
        <w:ind w:left="567"/>
        <w:rPr>
          <w:rFonts w:ascii="Muli" w:hAnsi="Muli"/>
        </w:rPr>
      </w:pPr>
    </w:p>
    <w:p w14:paraId="5FF5467D" w14:textId="017EE9DA" w:rsidR="00AF352F" w:rsidRPr="002301DA" w:rsidRDefault="00AF352F" w:rsidP="00AF352F">
      <w:pPr>
        <w:spacing w:line="256" w:lineRule="auto"/>
        <w:rPr>
          <w:rFonts w:ascii="Muli" w:hAnsi="Muli"/>
        </w:rPr>
      </w:pPr>
      <w:r w:rsidRPr="002301DA">
        <w:rPr>
          <w:rFonts w:ascii="Muli" w:hAnsi="Muli"/>
        </w:rPr>
        <w:t>Madrid,</w:t>
      </w:r>
      <w:r>
        <w:rPr>
          <w:rFonts w:ascii="Muli" w:hAnsi="Muli"/>
        </w:rPr>
        <w:t xml:space="preserve"> </w:t>
      </w:r>
      <w:r w:rsidR="004D60BD">
        <w:rPr>
          <w:rFonts w:ascii="Muli" w:hAnsi="Muli"/>
        </w:rPr>
        <w:t>6</w:t>
      </w:r>
      <w:r w:rsidR="00A4543E">
        <w:rPr>
          <w:rFonts w:ascii="Muli" w:hAnsi="Muli"/>
        </w:rPr>
        <w:t xml:space="preserve"> de </w:t>
      </w:r>
      <w:r w:rsidR="004D60BD">
        <w:rPr>
          <w:rFonts w:ascii="Muli" w:hAnsi="Muli"/>
        </w:rPr>
        <w:t>octubre</w:t>
      </w:r>
      <w:r w:rsidR="00A4543E">
        <w:rPr>
          <w:rFonts w:ascii="Muli" w:hAnsi="Muli"/>
        </w:rPr>
        <w:t xml:space="preserve"> de 2026 </w:t>
      </w:r>
    </w:p>
    <w:p w14:paraId="6120CCD9" w14:textId="28126ADB" w:rsidR="00C1043C" w:rsidRDefault="004D60BD" w:rsidP="00AF352F">
      <w:pPr>
        <w:rPr>
          <w:rFonts w:ascii="Muli" w:hAnsi="Muli"/>
          <w:color w:val="000000"/>
        </w:rPr>
      </w:pPr>
      <w:r>
        <w:rPr>
          <w:rStyle w:val="contentpasted0"/>
          <w:rFonts w:ascii="Muli" w:hAnsi="Muli"/>
          <w:color w:val="000000"/>
          <w:lang w:val="es-ES_tradnl"/>
        </w:rPr>
        <w:t xml:space="preserve">El mercado hipotecario avanza a dos </w:t>
      </w:r>
      <w:r w:rsidR="00C1043C">
        <w:rPr>
          <w:rStyle w:val="contentpasted0"/>
          <w:rFonts w:ascii="Muli" w:hAnsi="Muli"/>
          <w:color w:val="000000"/>
          <w:lang w:val="es-ES_tradnl"/>
        </w:rPr>
        <w:t>ritmos</w:t>
      </w:r>
      <w:r>
        <w:rPr>
          <w:rStyle w:val="contentpasted0"/>
          <w:rFonts w:ascii="Muli" w:hAnsi="Muli"/>
          <w:color w:val="000000"/>
          <w:lang w:val="es-ES_tradnl"/>
        </w:rPr>
        <w:t>. Durante los seis primeros meses de 2026 se constituyeron</w:t>
      </w:r>
      <w:r w:rsidR="0081289A">
        <w:rPr>
          <w:rStyle w:val="contentpasted0"/>
          <w:rFonts w:ascii="Muli" w:hAnsi="Muli"/>
          <w:color w:val="000000"/>
          <w:lang w:val="es-ES_tradnl"/>
        </w:rPr>
        <w:t xml:space="preserve"> </w:t>
      </w:r>
      <w:r w:rsidR="009A22EF" w:rsidRPr="004362C6">
        <w:rPr>
          <w:rFonts w:ascii="Muli" w:hAnsi="Muli"/>
          <w:color w:val="000000"/>
        </w:rPr>
        <w:t>259.684</w:t>
      </w:r>
      <w:r w:rsidR="009A22EF">
        <w:rPr>
          <w:rFonts w:ascii="Muli" w:hAnsi="Muli"/>
          <w:color w:val="000000"/>
        </w:rPr>
        <w:t xml:space="preserve"> </w:t>
      </w:r>
      <w:r>
        <w:rPr>
          <w:rStyle w:val="contentpasted0"/>
          <w:rFonts w:ascii="Muli" w:hAnsi="Muli"/>
          <w:color w:val="000000"/>
          <w:lang w:val="es-ES_tradnl"/>
        </w:rPr>
        <w:t>hipotecas sobre viviendas</w:t>
      </w:r>
      <w:r w:rsidR="00C1043C">
        <w:rPr>
          <w:rStyle w:val="contentpasted0"/>
          <w:rFonts w:ascii="Muli" w:hAnsi="Muli"/>
          <w:color w:val="000000"/>
          <w:lang w:val="es-ES_tradnl"/>
        </w:rPr>
        <w:t xml:space="preserve"> en España</w:t>
      </w:r>
      <w:r>
        <w:rPr>
          <w:rStyle w:val="contentpasted0"/>
          <w:rFonts w:ascii="Muli" w:hAnsi="Muli"/>
          <w:color w:val="000000"/>
          <w:lang w:val="es-ES_tradnl"/>
        </w:rPr>
        <w:t xml:space="preserve">, </w:t>
      </w:r>
      <w:r w:rsidR="00216573">
        <w:rPr>
          <w:rStyle w:val="contentpasted0"/>
          <w:rFonts w:ascii="Muli" w:hAnsi="Muli"/>
          <w:color w:val="000000"/>
          <w:lang w:val="es-ES_tradnl"/>
        </w:rPr>
        <w:t>un 6,56%</w:t>
      </w:r>
      <w:r>
        <w:rPr>
          <w:rStyle w:val="contentpasted0"/>
          <w:rFonts w:ascii="Muli" w:hAnsi="Muli"/>
          <w:color w:val="000000"/>
          <w:lang w:val="es-ES_tradnl"/>
        </w:rPr>
        <w:t xml:space="preserve"> más que en el mismo periodo del año anterior</w:t>
      </w:r>
      <w:r w:rsidR="00216573">
        <w:rPr>
          <w:rStyle w:val="contentpasted0"/>
          <w:rFonts w:ascii="Muli" w:hAnsi="Muli"/>
          <w:color w:val="000000"/>
          <w:lang w:val="es-ES_tradnl"/>
        </w:rPr>
        <w:t xml:space="preserve"> (</w:t>
      </w:r>
      <w:r w:rsidR="007D68FF" w:rsidRPr="007D68FF">
        <w:rPr>
          <w:rStyle w:val="contentpasted0"/>
          <w:rFonts w:ascii="Muli" w:hAnsi="Muli"/>
          <w:color w:val="000000"/>
          <w:lang w:val="es-ES_tradnl"/>
        </w:rPr>
        <w:t>242</w:t>
      </w:r>
      <w:r w:rsidR="007D68FF">
        <w:rPr>
          <w:rStyle w:val="contentpasted0"/>
          <w:rFonts w:ascii="Muli" w:hAnsi="Muli"/>
          <w:color w:val="000000"/>
          <w:lang w:val="es-ES_tradnl"/>
        </w:rPr>
        <w:t>.</w:t>
      </w:r>
      <w:r w:rsidR="007D68FF" w:rsidRPr="007D68FF">
        <w:rPr>
          <w:rStyle w:val="contentpasted0"/>
          <w:rFonts w:ascii="Muli" w:hAnsi="Muli"/>
          <w:color w:val="000000"/>
          <w:lang w:val="es-ES_tradnl"/>
        </w:rPr>
        <w:t>655</w:t>
      </w:r>
      <w:r w:rsidR="007D68FF">
        <w:rPr>
          <w:rStyle w:val="contentpasted0"/>
          <w:rFonts w:ascii="Muli" w:hAnsi="Muli"/>
          <w:color w:val="000000"/>
          <w:lang w:val="es-ES_tradnl"/>
        </w:rPr>
        <w:t>)</w:t>
      </w:r>
      <w:r w:rsidR="007D68FF">
        <w:rPr>
          <w:rFonts w:ascii="Muli" w:hAnsi="Muli"/>
          <w:color w:val="000000"/>
        </w:rPr>
        <w:t>, según los datos recogidos por el Instituto Nacional de Estadística (INE).</w:t>
      </w:r>
      <w:r w:rsidR="004362C6" w:rsidRPr="004362C6">
        <w:rPr>
          <w:rFonts w:ascii="Muli" w:hAnsi="Muli"/>
          <w:color w:val="000000"/>
        </w:rPr>
        <w:t xml:space="preserve"> En ese mismo periodo, </w:t>
      </w:r>
      <w:r w:rsidR="00C1043C">
        <w:rPr>
          <w:rFonts w:ascii="Muli" w:hAnsi="Muli"/>
          <w:color w:val="000000"/>
        </w:rPr>
        <w:t>las entidades bancarias</w:t>
      </w:r>
      <w:r w:rsidR="004362C6" w:rsidRPr="004362C6">
        <w:rPr>
          <w:rFonts w:ascii="Muli" w:hAnsi="Muli"/>
          <w:color w:val="000000"/>
        </w:rPr>
        <w:t xml:space="preserve"> prestaron </w:t>
      </w:r>
      <w:r w:rsidR="007D68FF" w:rsidRPr="004362C6">
        <w:rPr>
          <w:rFonts w:ascii="Muli" w:hAnsi="Muli"/>
          <w:color w:val="000000"/>
        </w:rPr>
        <w:t xml:space="preserve">45.190 millones de euros </w:t>
      </w:r>
      <w:r w:rsidR="004362C6" w:rsidRPr="004362C6">
        <w:rPr>
          <w:rFonts w:ascii="Muli" w:hAnsi="Muli"/>
          <w:color w:val="000000"/>
        </w:rPr>
        <w:t>para financiar la compra de vivienda, un 17,4</w:t>
      </w:r>
      <w:r w:rsidR="008530AB">
        <w:rPr>
          <w:rFonts w:ascii="Muli" w:hAnsi="Muli"/>
          <w:color w:val="000000"/>
        </w:rPr>
        <w:t>6</w:t>
      </w:r>
      <w:r w:rsidR="004362C6" w:rsidRPr="004362C6">
        <w:rPr>
          <w:rFonts w:ascii="Muli" w:hAnsi="Muli"/>
          <w:color w:val="000000"/>
        </w:rPr>
        <w:t xml:space="preserve">% más. Es decir, el dinero destinado a las nuevas hipotecas crece más del doble que el número de </w:t>
      </w:r>
      <w:r w:rsidR="00C1043C">
        <w:rPr>
          <w:rFonts w:ascii="Muli" w:hAnsi="Muli"/>
          <w:color w:val="000000"/>
        </w:rPr>
        <w:t xml:space="preserve">operaciones realizadas. </w:t>
      </w:r>
    </w:p>
    <w:p w14:paraId="0D1F9358" w14:textId="329EC27A" w:rsidR="006E22FF" w:rsidRDefault="006E22FF" w:rsidP="00AF352F">
      <w:pPr>
        <w:rPr>
          <w:rFonts w:ascii="Muli" w:hAnsi="Muli"/>
          <w:color w:val="000000"/>
        </w:rPr>
      </w:pPr>
      <w:r>
        <w:rPr>
          <w:rFonts w:ascii="Muli" w:hAnsi="Muli"/>
          <w:noProof/>
          <w:color w:val="000000"/>
          <w:lang w:val="es-ES_tradnl"/>
        </w:rPr>
        <w:drawing>
          <wp:inline distT="0" distB="0" distL="0" distR="0" wp14:anchorId="0F979C16" wp14:editId="27E98978">
            <wp:extent cx="5400040" cy="3108960"/>
            <wp:effectExtent l="0" t="0" r="0" b="0"/>
            <wp:docPr id="176667453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674539" name="Imagen 1766674539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23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108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B39C5C" w14:textId="43D1CFF5" w:rsidR="00EF4715" w:rsidRDefault="00C1043C" w:rsidP="00AF352F">
      <w:pPr>
        <w:rPr>
          <w:rFonts w:ascii="Muli" w:hAnsi="Muli"/>
          <w:color w:val="000000"/>
        </w:rPr>
      </w:pPr>
      <w:r>
        <w:rPr>
          <w:rFonts w:ascii="Muli" w:hAnsi="Muli"/>
          <w:color w:val="000000"/>
        </w:rPr>
        <w:t>Est</w:t>
      </w:r>
      <w:r w:rsidRPr="00F368F9">
        <w:rPr>
          <w:rFonts w:ascii="Muli" w:hAnsi="Muli"/>
          <w:color w:val="000000"/>
        </w:rPr>
        <w:t>a tendencia</w:t>
      </w:r>
      <w:r>
        <w:rPr>
          <w:rFonts w:ascii="Muli" w:hAnsi="Muli"/>
          <w:color w:val="000000"/>
        </w:rPr>
        <w:t xml:space="preserve">, además, </w:t>
      </w:r>
      <w:r w:rsidRPr="00F368F9">
        <w:rPr>
          <w:rFonts w:ascii="Muli" w:hAnsi="Muli"/>
          <w:color w:val="000000"/>
        </w:rPr>
        <w:t xml:space="preserve">se intensificó </w:t>
      </w:r>
      <w:r>
        <w:rPr>
          <w:rFonts w:ascii="Muli" w:hAnsi="Muli"/>
          <w:color w:val="000000"/>
        </w:rPr>
        <w:t xml:space="preserve">durante el pasado mes de </w:t>
      </w:r>
      <w:r w:rsidRPr="00F368F9">
        <w:rPr>
          <w:rFonts w:ascii="Muli" w:hAnsi="Muli"/>
          <w:color w:val="000000"/>
        </w:rPr>
        <w:t xml:space="preserve">junio, cuando se firmaron </w:t>
      </w:r>
      <w:r>
        <w:rPr>
          <w:rFonts w:ascii="Muli" w:hAnsi="Muli"/>
          <w:color w:val="000000"/>
        </w:rPr>
        <w:t xml:space="preserve">un total de </w:t>
      </w:r>
      <w:r w:rsidRPr="00F368F9">
        <w:rPr>
          <w:rFonts w:ascii="Muli" w:hAnsi="Muli"/>
          <w:color w:val="000000"/>
        </w:rPr>
        <w:t>45.907 hipotecas sobre viviendas, un 10,8% más que un año antes y el dato más alto</w:t>
      </w:r>
      <w:r w:rsidR="00711E85">
        <w:rPr>
          <w:rFonts w:ascii="Muli" w:hAnsi="Muli"/>
          <w:color w:val="000000"/>
        </w:rPr>
        <w:t xml:space="preserve"> registrado</w:t>
      </w:r>
      <w:r w:rsidRPr="00F368F9">
        <w:rPr>
          <w:rFonts w:ascii="Muli" w:hAnsi="Muli"/>
          <w:color w:val="000000"/>
        </w:rPr>
        <w:t xml:space="preserve"> este mes desde 2010.</w:t>
      </w:r>
      <w:r>
        <w:rPr>
          <w:rFonts w:ascii="Muli" w:hAnsi="Muli"/>
          <w:color w:val="000000"/>
        </w:rPr>
        <w:t xml:space="preserve"> Pero l</w:t>
      </w:r>
      <w:r w:rsidR="00F368F9" w:rsidRPr="00F368F9">
        <w:rPr>
          <w:rFonts w:ascii="Muli" w:hAnsi="Muli"/>
          <w:color w:val="000000"/>
        </w:rPr>
        <w:t xml:space="preserve">a clave está en que </w:t>
      </w:r>
      <w:r w:rsidR="00F368F9" w:rsidRPr="00F368F9">
        <w:rPr>
          <w:rFonts w:ascii="Muli" w:hAnsi="Muli"/>
          <w:color w:val="000000"/>
        </w:rPr>
        <w:lastRenderedPageBreak/>
        <w:t>cada hipoteca</w:t>
      </w:r>
      <w:r w:rsidR="00F368F9">
        <w:rPr>
          <w:rFonts w:ascii="Muli" w:hAnsi="Muli"/>
          <w:color w:val="000000"/>
        </w:rPr>
        <w:t xml:space="preserve">, de media, </w:t>
      </w:r>
      <w:r w:rsidR="00F368F9" w:rsidRPr="00F368F9">
        <w:rPr>
          <w:rFonts w:ascii="Muli" w:hAnsi="Muli"/>
          <w:color w:val="000000"/>
        </w:rPr>
        <w:t>implica ahora un mayor desembolso. Según los datos</w:t>
      </w:r>
      <w:r>
        <w:rPr>
          <w:rFonts w:ascii="Muli" w:hAnsi="Muli"/>
          <w:color w:val="000000"/>
        </w:rPr>
        <w:t xml:space="preserve"> publicados por el INE y</w:t>
      </w:r>
      <w:r w:rsidR="00F368F9" w:rsidRPr="00F368F9">
        <w:rPr>
          <w:rFonts w:ascii="Muli" w:hAnsi="Muli"/>
          <w:color w:val="000000"/>
        </w:rPr>
        <w:t xml:space="preserve"> recogidos por </w:t>
      </w:r>
      <w:r>
        <w:rPr>
          <w:rFonts w:ascii="Muli" w:hAnsi="Muli"/>
          <w:color w:val="000000"/>
        </w:rPr>
        <w:t xml:space="preserve">el comparador y asesor hipotecario </w:t>
      </w:r>
      <w:r w:rsidR="00F368F9" w:rsidRPr="00F368F9">
        <w:rPr>
          <w:rFonts w:ascii="Muli" w:hAnsi="Muli"/>
          <w:color w:val="000000"/>
        </w:rPr>
        <w:t xml:space="preserve">iAhorro, el importe medio de </w:t>
      </w:r>
      <w:r w:rsidR="00F368F9">
        <w:rPr>
          <w:rFonts w:ascii="Muli" w:hAnsi="Muli"/>
          <w:color w:val="000000"/>
        </w:rPr>
        <w:t>los préstamos sobre vivienda</w:t>
      </w:r>
      <w:r w:rsidR="00F368F9" w:rsidRPr="00F368F9">
        <w:rPr>
          <w:rFonts w:ascii="Muli" w:hAnsi="Muli"/>
          <w:color w:val="000000"/>
        </w:rPr>
        <w:t xml:space="preserve"> </w:t>
      </w:r>
      <w:r w:rsidR="00F368F9">
        <w:rPr>
          <w:rFonts w:ascii="Muli" w:hAnsi="Muli"/>
          <w:color w:val="000000"/>
        </w:rPr>
        <w:t>ha pasado</w:t>
      </w:r>
      <w:r w:rsidR="00F368F9" w:rsidRPr="00F368F9">
        <w:rPr>
          <w:rFonts w:ascii="Muli" w:hAnsi="Muli"/>
          <w:color w:val="000000"/>
        </w:rPr>
        <w:t xml:space="preserve"> de</w:t>
      </w:r>
      <w:r w:rsidR="00F368F9">
        <w:rPr>
          <w:rFonts w:ascii="Muli" w:hAnsi="Muli"/>
          <w:color w:val="000000"/>
        </w:rPr>
        <w:t xml:space="preserve"> </w:t>
      </w:r>
      <w:r w:rsidR="00711E85">
        <w:rPr>
          <w:rFonts w:ascii="Muli" w:hAnsi="Muli"/>
          <w:color w:val="000000"/>
        </w:rPr>
        <w:t>situarse en lo</w:t>
      </w:r>
      <w:r w:rsidR="00F368F9">
        <w:rPr>
          <w:rFonts w:ascii="Muli" w:hAnsi="Muli"/>
          <w:color w:val="000000"/>
        </w:rPr>
        <w:t>s</w:t>
      </w:r>
      <w:r w:rsidR="00F368F9" w:rsidRPr="00F368F9">
        <w:rPr>
          <w:rFonts w:ascii="Muli" w:hAnsi="Muli"/>
          <w:color w:val="000000"/>
        </w:rPr>
        <w:t xml:space="preserve"> 158.589</w:t>
      </w:r>
      <w:r w:rsidR="00F368F9">
        <w:rPr>
          <w:rFonts w:ascii="Muli" w:hAnsi="Muli"/>
          <w:color w:val="000000"/>
        </w:rPr>
        <w:t xml:space="preserve"> euros a los</w:t>
      </w:r>
      <w:r w:rsidR="00F368F9" w:rsidRPr="00F368F9">
        <w:rPr>
          <w:rFonts w:ascii="Muli" w:hAnsi="Muli"/>
          <w:color w:val="000000"/>
        </w:rPr>
        <w:t xml:space="preserve"> 174.061 euros, </w:t>
      </w:r>
      <w:r w:rsidR="00F368F9">
        <w:rPr>
          <w:rFonts w:ascii="Muli" w:hAnsi="Muli"/>
          <w:color w:val="000000"/>
        </w:rPr>
        <w:t>lo que supone un aumento del</w:t>
      </w:r>
      <w:r w:rsidR="00F368F9" w:rsidRPr="00F368F9">
        <w:rPr>
          <w:rFonts w:ascii="Muli" w:hAnsi="Muli"/>
          <w:color w:val="000000"/>
        </w:rPr>
        <w:t xml:space="preserve"> 9,8% más. </w:t>
      </w:r>
    </w:p>
    <w:p w14:paraId="39CB3361" w14:textId="0CECC50F" w:rsidR="000576F7" w:rsidRPr="009B22F0" w:rsidRDefault="000576F7" w:rsidP="000576F7">
      <w:pPr>
        <w:rPr>
          <w:rFonts w:ascii="Muli" w:hAnsi="Muli"/>
          <w:b/>
          <w:bCs/>
          <w:color w:val="243962"/>
        </w:rPr>
      </w:pPr>
      <w:r>
        <w:rPr>
          <w:rFonts w:ascii="Muli" w:hAnsi="Muli"/>
          <w:b/>
          <w:bCs/>
          <w:color w:val="243962"/>
        </w:rPr>
        <w:t xml:space="preserve">El esfuerzo vuelve a subir </w:t>
      </w:r>
      <w:r w:rsidR="00885D2C">
        <w:rPr>
          <w:rFonts w:ascii="Muli" w:hAnsi="Muli"/>
          <w:b/>
          <w:bCs/>
          <w:color w:val="243962"/>
        </w:rPr>
        <w:t xml:space="preserve">y el endeudamiento marca máximos </w:t>
      </w:r>
    </w:p>
    <w:p w14:paraId="55C55209" w14:textId="1C6FD172" w:rsidR="00067B42" w:rsidRDefault="00C80DEF" w:rsidP="00AF352F">
      <w:pPr>
        <w:rPr>
          <w:rStyle w:val="contentpasted0"/>
          <w:rFonts w:ascii="Muli" w:hAnsi="Muli"/>
          <w:color w:val="000000"/>
          <w:lang w:val="es-ES_tradnl"/>
        </w:rPr>
      </w:pPr>
      <w:r>
        <w:rPr>
          <w:rStyle w:val="contentpasted0"/>
          <w:rFonts w:ascii="Muli" w:hAnsi="Muli"/>
          <w:color w:val="000000"/>
          <w:lang w:val="es-ES_tradnl"/>
        </w:rPr>
        <w:t xml:space="preserve">Y, como no puede ser de otra manera, </w:t>
      </w:r>
      <w:r w:rsidR="006E22FF">
        <w:rPr>
          <w:rStyle w:val="contentpasted0"/>
          <w:rFonts w:ascii="Muli" w:hAnsi="Muli"/>
          <w:color w:val="000000"/>
          <w:lang w:val="es-ES_tradnl"/>
        </w:rPr>
        <w:t>e</w:t>
      </w:r>
      <w:r w:rsidR="00885D2C">
        <w:rPr>
          <w:rStyle w:val="contentpasted0"/>
          <w:rFonts w:ascii="Muli" w:hAnsi="Muli"/>
          <w:color w:val="000000"/>
          <w:lang w:val="es-ES_tradnl"/>
        </w:rPr>
        <w:t>l crecimiento</w:t>
      </w:r>
      <w:r>
        <w:rPr>
          <w:rStyle w:val="contentpasted0"/>
          <w:rFonts w:ascii="Muli" w:hAnsi="Muli"/>
          <w:color w:val="000000"/>
          <w:lang w:val="es-ES_tradnl"/>
        </w:rPr>
        <w:t xml:space="preserve"> (y encarecimiento)</w:t>
      </w:r>
      <w:r w:rsidR="00885D2C">
        <w:rPr>
          <w:rStyle w:val="contentpasted0"/>
          <w:rFonts w:ascii="Muli" w:hAnsi="Muli"/>
          <w:color w:val="000000"/>
          <w:lang w:val="es-ES_tradnl"/>
        </w:rPr>
        <w:t xml:space="preserve"> del mercado llega acompañado de un aumento del esfuerzo económico de los hogares hipotecados. </w:t>
      </w:r>
      <w:r w:rsidR="008135B5">
        <w:rPr>
          <w:rStyle w:val="contentpasted0"/>
          <w:rFonts w:ascii="Muli" w:hAnsi="Muli"/>
          <w:color w:val="000000"/>
          <w:lang w:val="es-ES_tradnl"/>
        </w:rPr>
        <w:t>A</w:t>
      </w:r>
      <w:r w:rsidR="007C25FD">
        <w:rPr>
          <w:rStyle w:val="contentpasted0"/>
          <w:rFonts w:ascii="Muli" w:hAnsi="Muli"/>
          <w:color w:val="000000"/>
          <w:lang w:val="es-ES_tradnl"/>
        </w:rPr>
        <w:t>l aumento del</w:t>
      </w:r>
      <w:r w:rsidR="00395631">
        <w:rPr>
          <w:rStyle w:val="contentpasted0"/>
          <w:rFonts w:ascii="Muli" w:hAnsi="Muli"/>
          <w:color w:val="000000"/>
          <w:lang w:val="es-ES_tradnl"/>
        </w:rPr>
        <w:t xml:space="preserve"> importe medio </w:t>
      </w:r>
      <w:r w:rsidR="007C25FD">
        <w:rPr>
          <w:rStyle w:val="contentpasted0"/>
          <w:rFonts w:ascii="Muli" w:hAnsi="Muli"/>
          <w:color w:val="000000"/>
          <w:lang w:val="es-ES_tradnl"/>
        </w:rPr>
        <w:t xml:space="preserve">se une también el alargamiento de los plazos </w:t>
      </w:r>
      <w:r w:rsidR="00B40AC8">
        <w:rPr>
          <w:rStyle w:val="contentpasted0"/>
          <w:rFonts w:ascii="Muli" w:hAnsi="Muli"/>
          <w:color w:val="000000"/>
          <w:lang w:val="es-ES_tradnl"/>
        </w:rPr>
        <w:t xml:space="preserve">de pago </w:t>
      </w:r>
      <w:r w:rsidR="007C25FD">
        <w:rPr>
          <w:rStyle w:val="contentpasted0"/>
          <w:rFonts w:ascii="Muli" w:hAnsi="Muli"/>
          <w:color w:val="000000"/>
          <w:lang w:val="es-ES_tradnl"/>
        </w:rPr>
        <w:t>de los préstamos hipotecarios</w:t>
      </w:r>
      <w:r w:rsidR="008135B5">
        <w:rPr>
          <w:rStyle w:val="contentpasted0"/>
          <w:rFonts w:ascii="Muli" w:hAnsi="Muli"/>
          <w:color w:val="000000"/>
          <w:lang w:val="es-ES_tradnl"/>
        </w:rPr>
        <w:t xml:space="preserve"> y la subida de los tipos de interés que estamos viendo en los últimos meses</w:t>
      </w:r>
      <w:r w:rsidR="00465BBF">
        <w:rPr>
          <w:rStyle w:val="contentpasted0"/>
          <w:rFonts w:ascii="Muli" w:hAnsi="Muli"/>
          <w:color w:val="000000"/>
          <w:lang w:val="es-ES_tradnl"/>
        </w:rPr>
        <w:t xml:space="preserve">. </w:t>
      </w:r>
      <w:r w:rsidR="008135B5">
        <w:rPr>
          <w:rStyle w:val="contentpasted0"/>
          <w:rFonts w:ascii="Muli" w:hAnsi="Muli"/>
          <w:color w:val="000000"/>
          <w:lang w:val="es-ES_tradnl"/>
        </w:rPr>
        <w:t>Tanto es así que, s</w:t>
      </w:r>
      <w:r w:rsidR="00465BBF">
        <w:rPr>
          <w:rStyle w:val="contentpasted0"/>
          <w:rFonts w:ascii="Muli" w:hAnsi="Muli"/>
          <w:color w:val="000000"/>
          <w:lang w:val="es-ES_tradnl"/>
        </w:rPr>
        <w:t xml:space="preserve">egún </w:t>
      </w:r>
      <w:r w:rsidR="004719BA">
        <w:rPr>
          <w:rStyle w:val="contentpasted0"/>
          <w:rFonts w:ascii="Muli" w:hAnsi="Muli"/>
          <w:color w:val="000000"/>
          <w:lang w:val="es-ES_tradnl"/>
        </w:rPr>
        <w:t>el Colegio de Registradores,</w:t>
      </w:r>
      <w:r w:rsidR="004D09A5">
        <w:rPr>
          <w:rStyle w:val="contentpasted0"/>
          <w:rFonts w:ascii="Muli" w:hAnsi="Muli"/>
          <w:color w:val="000000"/>
          <w:lang w:val="es-ES_tradnl"/>
        </w:rPr>
        <w:t xml:space="preserve"> </w:t>
      </w:r>
      <w:r w:rsidR="00477B75">
        <w:rPr>
          <w:rStyle w:val="contentpasted0"/>
          <w:rFonts w:ascii="Muli" w:hAnsi="Muli"/>
          <w:color w:val="000000"/>
          <w:lang w:val="es-ES_tradnl"/>
        </w:rPr>
        <w:t xml:space="preserve">en el segundo trimestre de 2026 el endeudamiento hipotecario medio por vivienda alcanzó los 176.453 euros, máximo de la serie recogida en el estudio. Además, </w:t>
      </w:r>
      <w:r w:rsidR="00E500CD">
        <w:rPr>
          <w:rStyle w:val="contentpasted0"/>
          <w:rFonts w:ascii="Muli" w:hAnsi="Muli"/>
          <w:color w:val="000000"/>
          <w:lang w:val="es-ES_tradnl"/>
        </w:rPr>
        <w:t xml:space="preserve">el plazo en el que </w:t>
      </w:r>
      <w:r w:rsidR="00B40AC8">
        <w:rPr>
          <w:rStyle w:val="contentpasted0"/>
          <w:rFonts w:ascii="Muli" w:hAnsi="Muli"/>
          <w:color w:val="000000"/>
          <w:lang w:val="es-ES_tradnl"/>
        </w:rPr>
        <w:t>devuelven</w:t>
      </w:r>
      <w:r w:rsidR="000D367F">
        <w:rPr>
          <w:rStyle w:val="contentpasted0"/>
          <w:rFonts w:ascii="Muli" w:hAnsi="Muli"/>
          <w:color w:val="000000"/>
          <w:lang w:val="es-ES_tradnl"/>
        </w:rPr>
        <w:t xml:space="preserve"> </w:t>
      </w:r>
      <w:r w:rsidR="00B40AC8">
        <w:rPr>
          <w:rStyle w:val="contentpasted0"/>
          <w:rFonts w:ascii="Muli" w:hAnsi="Muli"/>
          <w:color w:val="000000"/>
          <w:lang w:val="es-ES_tradnl"/>
        </w:rPr>
        <w:t>el dinero</w:t>
      </w:r>
      <w:r w:rsidR="004D09A5">
        <w:rPr>
          <w:rStyle w:val="contentpasted0"/>
          <w:rFonts w:ascii="Muli" w:hAnsi="Muli"/>
          <w:color w:val="000000"/>
          <w:lang w:val="es-ES_tradnl"/>
        </w:rPr>
        <w:t xml:space="preserve"> </w:t>
      </w:r>
      <w:r w:rsidR="00E500CD">
        <w:rPr>
          <w:rStyle w:val="contentpasted0"/>
          <w:rFonts w:ascii="Muli" w:hAnsi="Muli"/>
          <w:color w:val="000000"/>
          <w:lang w:val="es-ES_tradnl"/>
        </w:rPr>
        <w:t>ascendió a los</w:t>
      </w:r>
      <w:r w:rsidR="004D09A5">
        <w:rPr>
          <w:rStyle w:val="contentpasted0"/>
          <w:rFonts w:ascii="Muli" w:hAnsi="Muli"/>
          <w:color w:val="000000"/>
          <w:lang w:val="es-ES_tradnl"/>
        </w:rPr>
        <w:t xml:space="preserve"> </w:t>
      </w:r>
      <w:r w:rsidR="00885D2C">
        <w:rPr>
          <w:rStyle w:val="contentpasted0"/>
          <w:rFonts w:ascii="Muli" w:hAnsi="Muli"/>
          <w:color w:val="000000"/>
          <w:lang w:val="es-ES_tradnl"/>
        </w:rPr>
        <w:t>25,67 años,</w:t>
      </w:r>
      <w:r w:rsidR="004D09A5">
        <w:rPr>
          <w:rStyle w:val="contentpasted0"/>
          <w:rFonts w:ascii="Muli" w:hAnsi="Muli"/>
          <w:color w:val="000000"/>
          <w:lang w:val="es-ES_tradnl"/>
        </w:rPr>
        <w:t xml:space="preserve"> </w:t>
      </w:r>
      <w:r w:rsidR="00E500CD">
        <w:rPr>
          <w:rStyle w:val="contentpasted0"/>
          <w:rFonts w:ascii="Muli" w:hAnsi="Muli"/>
          <w:color w:val="000000"/>
          <w:lang w:val="es-ES_tradnl"/>
        </w:rPr>
        <w:t>respecto</w:t>
      </w:r>
      <w:r w:rsidR="00885D2C">
        <w:rPr>
          <w:rStyle w:val="contentpasted0"/>
          <w:rFonts w:ascii="Muli" w:hAnsi="Muli"/>
          <w:color w:val="000000"/>
          <w:lang w:val="es-ES_tradnl"/>
        </w:rPr>
        <w:t xml:space="preserve"> a los 25,</w:t>
      </w:r>
      <w:r w:rsidR="001E76B6">
        <w:rPr>
          <w:rStyle w:val="contentpasted0"/>
          <w:rFonts w:ascii="Muli" w:hAnsi="Muli"/>
          <w:color w:val="000000"/>
          <w:lang w:val="es-ES_tradnl"/>
        </w:rPr>
        <w:t xml:space="preserve">58 </w:t>
      </w:r>
      <w:r w:rsidR="00885D2C">
        <w:rPr>
          <w:rStyle w:val="contentpasted0"/>
          <w:rFonts w:ascii="Muli" w:hAnsi="Muli"/>
          <w:color w:val="000000"/>
          <w:lang w:val="es-ES_tradnl"/>
        </w:rPr>
        <w:t xml:space="preserve">años </w:t>
      </w:r>
      <w:r w:rsidR="000D367F">
        <w:rPr>
          <w:rStyle w:val="contentpasted0"/>
          <w:rFonts w:ascii="Muli" w:hAnsi="Muli"/>
          <w:color w:val="000000"/>
          <w:lang w:val="es-ES_tradnl"/>
        </w:rPr>
        <w:t>registrados en e</w:t>
      </w:r>
      <w:r w:rsidR="00067B42">
        <w:rPr>
          <w:rStyle w:val="contentpasted0"/>
          <w:rFonts w:ascii="Muli" w:hAnsi="Muli"/>
          <w:color w:val="000000"/>
          <w:lang w:val="es-ES_tradnl"/>
        </w:rPr>
        <w:t xml:space="preserve">l </w:t>
      </w:r>
      <w:r w:rsidR="009731B2">
        <w:rPr>
          <w:rStyle w:val="contentpasted0"/>
          <w:rFonts w:ascii="Muli" w:hAnsi="Muli"/>
          <w:color w:val="000000"/>
          <w:lang w:val="es-ES_tradnl"/>
        </w:rPr>
        <w:t>último trimestre</w:t>
      </w:r>
      <w:r w:rsidR="00067B42">
        <w:rPr>
          <w:rStyle w:val="contentpasted0"/>
          <w:rFonts w:ascii="Muli" w:hAnsi="Muli"/>
          <w:color w:val="000000"/>
          <w:lang w:val="es-ES_tradnl"/>
        </w:rPr>
        <w:t xml:space="preserve"> de 2025</w:t>
      </w:r>
      <w:r w:rsidR="00885D2C">
        <w:rPr>
          <w:rStyle w:val="contentpasted0"/>
          <w:rFonts w:ascii="Muli" w:hAnsi="Muli"/>
          <w:color w:val="000000"/>
          <w:lang w:val="es-ES_tradnl"/>
        </w:rPr>
        <w:t>.</w:t>
      </w:r>
    </w:p>
    <w:p w14:paraId="66CC7E86" w14:textId="5506918F" w:rsidR="00ED2523" w:rsidRDefault="00E500CD" w:rsidP="00ED2523">
      <w:pPr>
        <w:rPr>
          <w:rStyle w:val="contentpasted0"/>
          <w:rFonts w:ascii="Muli" w:hAnsi="Muli"/>
          <w:color w:val="000000"/>
          <w:lang w:val="es-ES_tradnl"/>
        </w:rPr>
      </w:pPr>
      <w:r>
        <w:rPr>
          <w:rStyle w:val="contentpasted0"/>
          <w:rFonts w:ascii="Muli" w:hAnsi="Muli"/>
          <w:color w:val="000000"/>
          <w:lang w:val="es-ES_tradnl"/>
        </w:rPr>
        <w:t>Y también</w:t>
      </w:r>
      <w:r w:rsidR="005926CE">
        <w:rPr>
          <w:rStyle w:val="contentpasted0"/>
          <w:rFonts w:ascii="Muli" w:hAnsi="Muli"/>
          <w:color w:val="000000"/>
          <w:lang w:val="es-ES_tradnl"/>
        </w:rPr>
        <w:t xml:space="preserve"> las cifras registrales muestran un aumento en</w:t>
      </w:r>
      <w:r w:rsidR="00F90EE4">
        <w:rPr>
          <w:rStyle w:val="contentpasted0"/>
          <w:rFonts w:ascii="Muli" w:hAnsi="Muli"/>
          <w:color w:val="000000"/>
          <w:lang w:val="es-ES_tradnl"/>
        </w:rPr>
        <w:t xml:space="preserve"> e</w:t>
      </w:r>
      <w:r w:rsidR="00885D2C">
        <w:rPr>
          <w:rStyle w:val="contentpasted0"/>
          <w:rFonts w:ascii="Muli" w:hAnsi="Muli"/>
          <w:color w:val="000000"/>
          <w:lang w:val="es-ES_tradnl"/>
        </w:rPr>
        <w:t xml:space="preserve">l tipo de interés </w:t>
      </w:r>
      <w:r w:rsidR="005926CE">
        <w:rPr>
          <w:rStyle w:val="contentpasted0"/>
          <w:rFonts w:ascii="Muli" w:hAnsi="Muli"/>
          <w:color w:val="000000"/>
          <w:lang w:val="es-ES_tradnl"/>
        </w:rPr>
        <w:t xml:space="preserve">medio de los préstamos hipotecarios, al pasar del </w:t>
      </w:r>
      <w:r w:rsidR="00885D2C">
        <w:rPr>
          <w:rStyle w:val="contentpasted0"/>
          <w:rFonts w:ascii="Muli" w:hAnsi="Muli"/>
          <w:color w:val="000000"/>
          <w:lang w:val="es-ES_tradnl"/>
        </w:rPr>
        <w:t>2,97% al 3,03%</w:t>
      </w:r>
      <w:r w:rsidR="005926CE">
        <w:rPr>
          <w:rStyle w:val="contentpasted0"/>
          <w:rFonts w:ascii="Muli" w:hAnsi="Muli"/>
          <w:color w:val="000000"/>
          <w:lang w:val="es-ES_tradnl"/>
        </w:rPr>
        <w:t>. Esto implica, por tanto</w:t>
      </w:r>
      <w:r w:rsidR="00666B13">
        <w:rPr>
          <w:rStyle w:val="contentpasted0"/>
          <w:rFonts w:ascii="Muli" w:hAnsi="Muli"/>
          <w:color w:val="000000"/>
          <w:lang w:val="es-ES_tradnl"/>
        </w:rPr>
        <w:t xml:space="preserve">, que la cuota media </w:t>
      </w:r>
      <w:r w:rsidR="0070683F">
        <w:rPr>
          <w:rStyle w:val="contentpasted0"/>
          <w:rFonts w:ascii="Muli" w:hAnsi="Muli"/>
          <w:color w:val="000000"/>
          <w:lang w:val="es-ES_tradnl"/>
        </w:rPr>
        <w:t xml:space="preserve">mensual que paga cada hipotecado </w:t>
      </w:r>
      <w:r w:rsidR="004C2A8C">
        <w:rPr>
          <w:rStyle w:val="contentpasted0"/>
          <w:rFonts w:ascii="Muli" w:hAnsi="Muli"/>
          <w:color w:val="000000"/>
          <w:lang w:val="es-ES_tradnl"/>
        </w:rPr>
        <w:t xml:space="preserve">en España </w:t>
      </w:r>
      <w:r w:rsidR="00ED2523">
        <w:rPr>
          <w:rStyle w:val="contentpasted0"/>
          <w:rFonts w:ascii="Muli" w:hAnsi="Muli"/>
          <w:color w:val="000000"/>
          <w:lang w:val="es-ES_tradnl"/>
        </w:rPr>
        <w:t>se situé en 825 euros frente a los 797 euros del cua</w:t>
      </w:r>
      <w:r w:rsidR="004C2A8C">
        <w:rPr>
          <w:rStyle w:val="contentpasted0"/>
          <w:rFonts w:ascii="Muli" w:hAnsi="Muli"/>
          <w:color w:val="000000"/>
          <w:lang w:val="es-ES_tradnl"/>
        </w:rPr>
        <w:t>rt</w:t>
      </w:r>
      <w:r w:rsidR="00ED2523">
        <w:rPr>
          <w:rStyle w:val="contentpasted0"/>
          <w:rFonts w:ascii="Muli" w:hAnsi="Muli"/>
          <w:color w:val="000000"/>
          <w:lang w:val="es-ES_tradnl"/>
        </w:rPr>
        <w:t>o trimestre de 2025</w:t>
      </w:r>
      <w:r w:rsidR="004C2A8C">
        <w:rPr>
          <w:rStyle w:val="contentpasted0"/>
          <w:rFonts w:ascii="Muli" w:hAnsi="Muli"/>
          <w:color w:val="000000"/>
          <w:lang w:val="es-ES_tradnl"/>
        </w:rPr>
        <w:t>. Así,</w:t>
      </w:r>
      <w:r w:rsidR="00ED2523">
        <w:rPr>
          <w:rStyle w:val="contentpasted0"/>
          <w:rFonts w:ascii="Muli" w:hAnsi="Muli"/>
          <w:color w:val="000000"/>
          <w:lang w:val="es-ES_tradnl"/>
        </w:rPr>
        <w:t xml:space="preserve"> el porcentaje del coste salarial destin</w:t>
      </w:r>
      <w:r w:rsidR="004C2A8C">
        <w:rPr>
          <w:rStyle w:val="contentpasted0"/>
          <w:rFonts w:ascii="Muli" w:hAnsi="Muli"/>
          <w:color w:val="000000"/>
          <w:lang w:val="es-ES_tradnl"/>
        </w:rPr>
        <w:t xml:space="preserve">ado </w:t>
      </w:r>
      <w:r w:rsidR="00ED2523">
        <w:rPr>
          <w:rStyle w:val="contentpasted0"/>
          <w:rFonts w:ascii="Muli" w:hAnsi="Muli"/>
          <w:color w:val="000000"/>
          <w:lang w:val="es-ES_tradnl"/>
        </w:rPr>
        <w:t>a su pago aument</w:t>
      </w:r>
      <w:r w:rsidR="004C2A8C">
        <w:rPr>
          <w:rStyle w:val="contentpasted0"/>
          <w:rFonts w:ascii="Muli" w:hAnsi="Muli"/>
          <w:color w:val="000000"/>
          <w:lang w:val="es-ES_tradnl"/>
        </w:rPr>
        <w:t>a</w:t>
      </w:r>
      <w:r w:rsidR="00ED2523">
        <w:rPr>
          <w:rStyle w:val="contentpasted0"/>
          <w:rFonts w:ascii="Muli" w:hAnsi="Muli"/>
          <w:color w:val="000000"/>
          <w:lang w:val="es-ES_tradnl"/>
        </w:rPr>
        <w:t xml:space="preserve"> del 33,8% al 34,3%. </w:t>
      </w:r>
    </w:p>
    <w:p w14:paraId="1BBD80BA" w14:textId="232C90C5" w:rsidR="00AF3799" w:rsidRPr="003735BF" w:rsidRDefault="00512FA7" w:rsidP="00AF352F">
      <w:pPr>
        <w:rPr>
          <w:rStyle w:val="contentpasted0"/>
          <w:lang w:val="es-ES_tradnl"/>
        </w:rPr>
      </w:pPr>
      <w:r w:rsidRPr="003735BF">
        <w:rPr>
          <w:rStyle w:val="contentpasted0"/>
          <w:rFonts w:ascii="Muli" w:hAnsi="Muli"/>
          <w:lang w:val="es-ES_tradnl"/>
        </w:rPr>
        <w:t xml:space="preserve">En la práctica, esto significa que las familias asumen préstamos de mayor importe, pagan cuotas mensuales más elevadas y mantienen sus deudas durante más tiempo. </w:t>
      </w:r>
      <w:r w:rsidR="009604A5" w:rsidRPr="003735BF">
        <w:rPr>
          <w:rStyle w:val="contentpasted0"/>
          <w:rFonts w:ascii="Muli" w:hAnsi="Muli"/>
          <w:lang w:val="es-ES_tradnl"/>
        </w:rPr>
        <w:t>Y,</w:t>
      </w:r>
      <w:r w:rsidR="009604A5" w:rsidRPr="003735BF">
        <w:rPr>
          <w:rStyle w:val="contentpasted0"/>
          <w:rFonts w:ascii="Muli" w:hAnsi="Muli"/>
          <w:color w:val="000000"/>
          <w:lang w:val="es-ES_tradnl"/>
        </w:rPr>
        <w:t xml:space="preserve"> </w:t>
      </w:r>
      <w:r w:rsidR="009604A5" w:rsidRPr="003735BF">
        <w:rPr>
          <w:rStyle w:val="contentpasted0"/>
          <w:rFonts w:ascii="Muli" w:hAnsi="Muli"/>
          <w:lang w:val="es-ES_tradnl"/>
        </w:rPr>
        <w:t>aunque son cambios que, por separado, parecen moderados, se producen de forma simultánea y esto afecta mucho más al ciudadano medio.</w:t>
      </w:r>
    </w:p>
    <w:p w14:paraId="7FFEE8B9" w14:textId="4EEC1252" w:rsidR="000B4BC1" w:rsidRDefault="000B4BC1" w:rsidP="00AF352F">
      <w:pPr>
        <w:rPr>
          <w:rStyle w:val="contentpasted0"/>
          <w:rFonts w:ascii="Muli" w:hAnsi="Muli"/>
          <w:color w:val="000000"/>
          <w:lang w:val="es-ES_tradnl"/>
        </w:rPr>
      </w:pPr>
      <w:r>
        <w:rPr>
          <w:rFonts w:ascii="Muli" w:hAnsi="Muli"/>
          <w:noProof/>
          <w:color w:val="000000"/>
          <w:lang w:val="es-ES_tradnl"/>
        </w:rPr>
        <w:drawing>
          <wp:inline distT="0" distB="0" distL="0" distR="0" wp14:anchorId="5187A47C" wp14:editId="326FEDBE">
            <wp:extent cx="5400040" cy="3086100"/>
            <wp:effectExtent l="0" t="0" r="0" b="0"/>
            <wp:docPr id="128985869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858691" name="Imagen 1289858691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16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86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E71F6A" w14:textId="542AABBD" w:rsidR="00A36FE0" w:rsidRDefault="00D56306" w:rsidP="00AF352F">
      <w:pPr>
        <w:rPr>
          <w:rStyle w:val="contentpasted0"/>
          <w:rFonts w:ascii="Muli" w:hAnsi="Muli"/>
          <w:color w:val="000000"/>
          <w:lang w:val="es-ES_tradnl"/>
        </w:rPr>
      </w:pPr>
      <w:r>
        <w:rPr>
          <w:rStyle w:val="contentpasted0"/>
          <w:rFonts w:ascii="Muli" w:hAnsi="Muli"/>
          <w:color w:val="000000"/>
          <w:lang w:val="es-ES_tradnl"/>
        </w:rPr>
        <w:t>Además, e</w:t>
      </w:r>
      <w:r w:rsidR="006133DB">
        <w:rPr>
          <w:rStyle w:val="contentpasted0"/>
          <w:rFonts w:ascii="Muli" w:hAnsi="Muli"/>
          <w:color w:val="000000"/>
          <w:lang w:val="es-ES_tradnl"/>
        </w:rPr>
        <w:t xml:space="preserve">l esfuerzo medio nacional del 34,3% esconde realidades muy distintas. En Baleares, el pago de la hipoteca representa el 55,8% del coste salarial; en Madrid, el 44,5% y en Canarias el 40,2%. En el extremo contrario aparecen Extremadura (23,8%), La Rioja (25,1%) y Murcia (26,3%). La distancia entre Baleares y Extremadura alcanza 32 puntos porcentuales. </w:t>
      </w:r>
      <w:r w:rsidR="00F07533">
        <w:rPr>
          <w:rStyle w:val="contentpasted0"/>
          <w:rFonts w:ascii="Muli" w:hAnsi="Muli"/>
          <w:color w:val="000000"/>
          <w:lang w:val="es-ES_tradnl"/>
        </w:rPr>
        <w:t>O, dicho de otra manera, los comprad</w:t>
      </w:r>
      <w:r w:rsidR="00A36FE0">
        <w:rPr>
          <w:rStyle w:val="contentpasted0"/>
          <w:rFonts w:ascii="Muli" w:hAnsi="Muli"/>
          <w:color w:val="000000"/>
          <w:lang w:val="es-ES_tradnl"/>
        </w:rPr>
        <w:t>ore</w:t>
      </w:r>
      <w:r w:rsidR="00F07533">
        <w:rPr>
          <w:rStyle w:val="contentpasted0"/>
          <w:rFonts w:ascii="Muli" w:hAnsi="Muli"/>
          <w:color w:val="000000"/>
          <w:lang w:val="es-ES_tradnl"/>
        </w:rPr>
        <w:t xml:space="preserve">s </w:t>
      </w:r>
      <w:r w:rsidR="00A36FE0">
        <w:rPr>
          <w:rStyle w:val="contentpasted0"/>
          <w:rFonts w:ascii="Muli" w:hAnsi="Muli"/>
          <w:color w:val="000000"/>
          <w:lang w:val="es-ES_tradnl"/>
        </w:rPr>
        <w:t xml:space="preserve">de las islas Pitiusas </w:t>
      </w:r>
      <w:r w:rsidR="00F07533">
        <w:rPr>
          <w:rStyle w:val="contentpasted0"/>
          <w:rFonts w:ascii="Muli" w:hAnsi="Muli"/>
          <w:color w:val="000000"/>
          <w:lang w:val="es-ES_tradnl"/>
        </w:rPr>
        <w:t xml:space="preserve">destinan a la hipoteca una proporción del salario más de dos veces superior a </w:t>
      </w:r>
      <w:r w:rsidR="00A36FE0">
        <w:rPr>
          <w:rStyle w:val="contentpasted0"/>
          <w:rFonts w:ascii="Muli" w:hAnsi="Muli"/>
          <w:color w:val="000000"/>
          <w:lang w:val="es-ES_tradnl"/>
        </w:rPr>
        <w:t>la que aportan los extremeños</w:t>
      </w:r>
      <w:r w:rsidR="00F07533">
        <w:rPr>
          <w:rStyle w:val="contentpasted0"/>
          <w:rFonts w:ascii="Muli" w:hAnsi="Muli"/>
          <w:color w:val="000000"/>
          <w:lang w:val="es-ES_tradnl"/>
        </w:rPr>
        <w:t xml:space="preserve">. </w:t>
      </w:r>
    </w:p>
    <w:p w14:paraId="0F4A9B1C" w14:textId="0785DE13" w:rsidR="006133DB" w:rsidRDefault="006133DB" w:rsidP="006133DB">
      <w:pPr>
        <w:rPr>
          <w:rStyle w:val="contentpasted0"/>
          <w:rFonts w:ascii="Muli" w:hAnsi="Muli"/>
          <w:color w:val="000000"/>
          <w:lang w:val="es-ES_tradnl"/>
        </w:rPr>
      </w:pPr>
      <w:r>
        <w:rPr>
          <w:rStyle w:val="contentpasted0"/>
          <w:rFonts w:ascii="Muli" w:hAnsi="Muli"/>
          <w:color w:val="000000"/>
          <w:lang w:val="es-ES_tradnl"/>
        </w:rPr>
        <w:t>Laura Martínez, directora de Comunicación de</w:t>
      </w:r>
      <w:r w:rsidR="00DE19C0">
        <w:rPr>
          <w:rStyle w:val="contentpasted0"/>
          <w:rFonts w:ascii="Muli" w:hAnsi="Muli"/>
          <w:color w:val="000000"/>
          <w:lang w:val="es-ES_tradnl"/>
        </w:rPr>
        <w:t>l comparador y asesor hipotecario</w:t>
      </w:r>
      <w:r>
        <w:rPr>
          <w:rStyle w:val="contentpasted0"/>
          <w:rFonts w:ascii="Muli" w:hAnsi="Muli"/>
          <w:color w:val="000000"/>
          <w:lang w:val="es-ES_tradnl"/>
        </w:rPr>
        <w:t xml:space="preserve"> iAhorro, recuerda que, como criterio orientativo, el pago de la vivienda no debería superar aproximadamente el 35% de los ingresos: “</w:t>
      </w:r>
      <w:r w:rsidR="00DE19C0">
        <w:rPr>
          <w:rStyle w:val="contentpasted0"/>
          <w:rFonts w:ascii="Muli" w:hAnsi="Muli"/>
          <w:color w:val="000000"/>
          <w:lang w:val="es-ES_tradnl"/>
        </w:rPr>
        <w:t>S</w:t>
      </w:r>
      <w:r>
        <w:rPr>
          <w:rStyle w:val="contentpasted0"/>
          <w:rFonts w:ascii="Muli" w:hAnsi="Muli"/>
          <w:color w:val="000000"/>
          <w:lang w:val="es-ES_tradnl"/>
        </w:rPr>
        <w:t>i el comprador gana 1.000 euros, no debería pagar más de 350 euros por hipoteca”, ejemplifica. Martínez señala que rebasar ese umbral puede tensionar las finanzas familiares</w:t>
      </w:r>
      <w:r w:rsidR="00DE19C0">
        <w:rPr>
          <w:rStyle w:val="contentpasted0"/>
          <w:rFonts w:ascii="Muli" w:hAnsi="Muli"/>
          <w:color w:val="000000"/>
          <w:lang w:val="es-ES_tradnl"/>
        </w:rPr>
        <w:t xml:space="preserve"> e incluso </w:t>
      </w:r>
      <w:r w:rsidR="008A3526">
        <w:rPr>
          <w:rStyle w:val="contentpasted0"/>
          <w:rFonts w:ascii="Muli" w:hAnsi="Muli"/>
          <w:color w:val="000000"/>
          <w:lang w:val="es-ES_tradnl"/>
        </w:rPr>
        <w:t>el comprador se arriesga “a que el banco no le conceda el préstamo hipotecario”.</w:t>
      </w:r>
    </w:p>
    <w:p w14:paraId="2BC8674F" w14:textId="4C61F513" w:rsidR="006133DB" w:rsidRDefault="006133DB" w:rsidP="006133DB">
      <w:pPr>
        <w:rPr>
          <w:rFonts w:ascii="Muli" w:hAnsi="Muli"/>
          <w:b/>
          <w:bCs/>
          <w:color w:val="243962"/>
        </w:rPr>
      </w:pPr>
      <w:r>
        <w:rPr>
          <w:rFonts w:ascii="Muli" w:hAnsi="Muli"/>
          <w:b/>
          <w:bCs/>
          <w:color w:val="243962"/>
        </w:rPr>
        <w:t xml:space="preserve">La brecha en el mapa: el precio y los salarios refleja dos Españas </w:t>
      </w:r>
    </w:p>
    <w:p w14:paraId="59417B23" w14:textId="3E80AA5B" w:rsidR="006133DB" w:rsidRDefault="00F83AC9" w:rsidP="006133DB">
      <w:pPr>
        <w:rPr>
          <w:rStyle w:val="contentpasted0"/>
          <w:rFonts w:ascii="Muli" w:hAnsi="Muli"/>
          <w:color w:val="000000"/>
          <w:lang w:val="es-ES_tradnl"/>
        </w:rPr>
      </w:pPr>
      <w:r>
        <w:rPr>
          <w:rStyle w:val="contentpasted0"/>
          <w:rFonts w:ascii="Muli" w:hAnsi="Muli"/>
          <w:color w:val="000000"/>
          <w:lang w:val="es-ES_tradnl"/>
        </w:rPr>
        <w:t>Si bien es cierto que, el importe medio financiado por CCAA también dibuja mercados muy alejados entre unas zonas y otras, en función del lugar y, sobre todo, del salario,</w:t>
      </w:r>
      <w:r w:rsidR="006133DB">
        <w:rPr>
          <w:rStyle w:val="contentpasted0"/>
          <w:rFonts w:ascii="Muli" w:hAnsi="Muli"/>
          <w:color w:val="000000"/>
          <w:lang w:val="es-ES_tradnl"/>
        </w:rPr>
        <w:t xml:space="preserve"> una hipoteca de menor cuantía no implica necesariamente un menor esfuerzo. </w:t>
      </w:r>
      <w:r w:rsidR="0095341A">
        <w:rPr>
          <w:rStyle w:val="contentpasted0"/>
          <w:rFonts w:ascii="Muli" w:hAnsi="Muli"/>
          <w:color w:val="000000"/>
          <w:lang w:val="es-ES_tradnl"/>
        </w:rPr>
        <w:t xml:space="preserve">Por ejemplo, </w:t>
      </w:r>
      <w:r w:rsidR="006133DB">
        <w:rPr>
          <w:rStyle w:val="contentpasted0"/>
          <w:rFonts w:ascii="Muli" w:hAnsi="Muli"/>
          <w:color w:val="000000"/>
          <w:lang w:val="es-ES_tradnl"/>
        </w:rPr>
        <w:t>Baleares registra una cuota mensual media</w:t>
      </w:r>
      <w:r w:rsidR="0095341A">
        <w:rPr>
          <w:rStyle w:val="contentpasted0"/>
          <w:rFonts w:ascii="Muli" w:hAnsi="Muli"/>
          <w:color w:val="000000"/>
          <w:lang w:val="es-ES_tradnl"/>
        </w:rPr>
        <w:t xml:space="preserve"> de hipoteca</w:t>
      </w:r>
      <w:r w:rsidR="006133DB">
        <w:rPr>
          <w:rStyle w:val="contentpasted0"/>
          <w:rFonts w:ascii="Muli" w:hAnsi="Muli"/>
          <w:color w:val="000000"/>
          <w:lang w:val="es-ES_tradnl"/>
        </w:rPr>
        <w:t xml:space="preserve"> de 1.342 euros y </w:t>
      </w:r>
      <w:r w:rsidR="0095341A">
        <w:rPr>
          <w:rStyle w:val="contentpasted0"/>
          <w:rFonts w:ascii="Muli" w:hAnsi="Muli"/>
          <w:color w:val="000000"/>
          <w:lang w:val="es-ES_tradnl"/>
        </w:rPr>
        <w:t xml:space="preserve">la Comunidad de </w:t>
      </w:r>
      <w:r w:rsidR="006133DB">
        <w:rPr>
          <w:rStyle w:val="contentpasted0"/>
          <w:rFonts w:ascii="Muli" w:hAnsi="Muli"/>
          <w:color w:val="000000"/>
          <w:lang w:val="es-ES_tradnl"/>
        </w:rPr>
        <w:t>Madrid de 1.311</w:t>
      </w:r>
      <w:r w:rsidR="0095341A">
        <w:rPr>
          <w:rStyle w:val="contentpasted0"/>
          <w:rFonts w:ascii="Muli" w:hAnsi="Muli"/>
          <w:color w:val="000000"/>
          <w:lang w:val="es-ES_tradnl"/>
        </w:rPr>
        <w:t>,</w:t>
      </w:r>
      <w:r w:rsidR="006133DB">
        <w:rPr>
          <w:rStyle w:val="contentpasted0"/>
          <w:rFonts w:ascii="Muli" w:hAnsi="Muli"/>
          <w:color w:val="000000"/>
          <w:lang w:val="es-ES_tradnl"/>
        </w:rPr>
        <w:t xml:space="preserve"> frente a los 788 euros </w:t>
      </w:r>
      <w:r w:rsidR="0095341A">
        <w:rPr>
          <w:rStyle w:val="contentpasted0"/>
          <w:rFonts w:ascii="Muli" w:hAnsi="Muli"/>
          <w:color w:val="000000"/>
          <w:lang w:val="es-ES_tradnl"/>
        </w:rPr>
        <w:t xml:space="preserve">mensuales </w:t>
      </w:r>
      <w:r w:rsidR="006133DB">
        <w:rPr>
          <w:rStyle w:val="contentpasted0"/>
          <w:rFonts w:ascii="Muli" w:hAnsi="Muli"/>
          <w:color w:val="000000"/>
          <w:lang w:val="es-ES_tradnl"/>
        </w:rPr>
        <w:t>de Canarias. Si embargo, el coste salarial implícito calculado a partir de los datos</w:t>
      </w:r>
      <w:r w:rsidR="0095341A">
        <w:rPr>
          <w:rStyle w:val="contentpasted0"/>
          <w:rFonts w:ascii="Muli" w:hAnsi="Muli"/>
          <w:color w:val="000000"/>
          <w:lang w:val="es-ES_tradnl"/>
        </w:rPr>
        <w:t xml:space="preserve"> del Colegio de Registradores </w:t>
      </w:r>
      <w:r w:rsidR="006133DB">
        <w:rPr>
          <w:rStyle w:val="contentpasted0"/>
          <w:rFonts w:ascii="Muli" w:hAnsi="Muli"/>
          <w:color w:val="000000"/>
          <w:lang w:val="es-ES_tradnl"/>
        </w:rPr>
        <w:t xml:space="preserve">asciende a 2.945 euros en Madrid y desciende a 1.959 euros en Canarias. Por eso, aunque el préstamo medio canario sea mucho menor, el peso de su cuota sobre el salario sigue situándose entre los más elevados. </w:t>
      </w:r>
    </w:p>
    <w:p w14:paraId="0485AB42" w14:textId="24052701" w:rsidR="00A04C7A" w:rsidRDefault="00A04C7A" w:rsidP="006133DB">
      <w:pPr>
        <w:rPr>
          <w:rStyle w:val="contentpasted0"/>
          <w:rFonts w:ascii="Muli" w:hAnsi="Muli"/>
          <w:color w:val="000000"/>
          <w:lang w:val="es-ES_tradnl"/>
        </w:rPr>
      </w:pPr>
      <w:r>
        <w:rPr>
          <w:rFonts w:ascii="Muli" w:hAnsi="Muli"/>
          <w:b/>
          <w:bCs/>
          <w:noProof/>
          <w:color w:val="243962"/>
          <w:lang w:val="es-ES_tradnl"/>
        </w:rPr>
        <w:drawing>
          <wp:inline distT="0" distB="0" distL="0" distR="0" wp14:anchorId="74B62A00" wp14:editId="5C659388">
            <wp:extent cx="5400040" cy="3037205"/>
            <wp:effectExtent l="0" t="0" r="0" b="0"/>
            <wp:docPr id="163435554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355546" name="Imagen 163435554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90045" w14:textId="1EDF8EE3" w:rsidR="00F00503" w:rsidRDefault="00A04C7A" w:rsidP="006133DB">
      <w:pPr>
        <w:rPr>
          <w:rStyle w:val="contentpasted0"/>
          <w:rFonts w:ascii="Muli" w:hAnsi="Muli"/>
          <w:b/>
          <w:bCs/>
          <w:color w:val="243962"/>
        </w:rPr>
      </w:pPr>
      <w:r w:rsidRPr="00A04C7A">
        <w:rPr>
          <w:rFonts w:ascii="Muli" w:hAnsi="Muli"/>
          <w:color w:val="000000"/>
        </w:rPr>
        <w:t>La comparación con Extremadura resulta especialmente ilustrativa. Ambas comunidades presentan un salario implícito prácticamente idéntico —1.959 euros en Canarias y 1.960 euros en Extremadura—, pero afrontan cuotas hipotecarias medias muy diferentes: 788 euros mensuales en Canarias frente a 466 euros en Extremadura. Esta diferencia se refleja directamente en el esfuerzo financiero que supone la hipoteca: el 40,2% del salario en Canarias, frente al 23,8% en Extremadura.</w:t>
      </w:r>
      <w:r>
        <w:rPr>
          <w:rFonts w:ascii="Muli" w:hAnsi="Muli"/>
          <w:color w:val="000000"/>
        </w:rPr>
        <w:t xml:space="preserve"> Por tanto, la</w:t>
      </w:r>
      <w:r w:rsidRPr="00A04C7A">
        <w:rPr>
          <w:rFonts w:ascii="Muli" w:hAnsi="Muli"/>
          <w:color w:val="000000"/>
        </w:rPr>
        <w:t xml:space="preserve"> capacidad de compra no depende solo de cuánto cuesta financiar una vivienda, sino también de los recursos disponibles para pagarla.</w:t>
      </w:r>
    </w:p>
    <w:p w14:paraId="4525DE05" w14:textId="08DF55B8" w:rsidR="00F00503" w:rsidRDefault="00A04C7A" w:rsidP="00F00503">
      <w:pPr>
        <w:rPr>
          <w:rStyle w:val="contentpasted0"/>
          <w:rFonts w:ascii="Muli" w:hAnsi="Muli"/>
          <w:b/>
          <w:bCs/>
          <w:color w:val="243962"/>
        </w:rPr>
      </w:pPr>
      <w:r>
        <w:rPr>
          <w:rStyle w:val="contentpasted0"/>
          <w:rFonts w:ascii="Muli" w:hAnsi="Muli"/>
          <w:color w:val="000000"/>
          <w:lang w:val="es-ES_tradnl"/>
        </w:rPr>
        <w:t xml:space="preserve">En este sentido, Laura </w:t>
      </w:r>
      <w:r w:rsidR="00F00503">
        <w:rPr>
          <w:rStyle w:val="contentpasted0"/>
          <w:rFonts w:ascii="Muli" w:hAnsi="Muli"/>
          <w:color w:val="000000"/>
          <w:lang w:val="es-ES_tradnl"/>
        </w:rPr>
        <w:t xml:space="preserve">Martínez añade que Canarias presenta dificultades particulares: </w:t>
      </w:r>
      <w:r>
        <w:rPr>
          <w:rStyle w:val="contentpasted0"/>
          <w:rFonts w:ascii="Muli" w:hAnsi="Muli"/>
          <w:color w:val="000000"/>
          <w:lang w:val="es-ES_tradnl"/>
        </w:rPr>
        <w:t>“L</w:t>
      </w:r>
      <w:r w:rsidR="00F00503">
        <w:rPr>
          <w:rStyle w:val="contentpasted0"/>
          <w:rFonts w:ascii="Muli" w:hAnsi="Muli"/>
          <w:color w:val="000000"/>
          <w:lang w:val="es-ES_tradnl"/>
        </w:rPr>
        <w:t>a condición insular limita las posibilidades de nueva construcción y vivienda en zonas protegidas, el mercado de segunda mano es más reducido y los salarios son más bajos</w:t>
      </w:r>
      <w:r>
        <w:rPr>
          <w:rStyle w:val="contentpasted0"/>
          <w:rFonts w:ascii="Muli" w:hAnsi="Muli"/>
          <w:color w:val="000000"/>
          <w:lang w:val="es-ES_tradnl"/>
        </w:rPr>
        <w:t>”</w:t>
      </w:r>
      <w:r w:rsidR="00F00503">
        <w:rPr>
          <w:rStyle w:val="contentpasted0"/>
          <w:rFonts w:ascii="Muli" w:hAnsi="Muli"/>
          <w:color w:val="000000"/>
          <w:lang w:val="es-ES_tradnl"/>
        </w:rPr>
        <w:t>. A ello</w:t>
      </w:r>
      <w:r>
        <w:rPr>
          <w:rStyle w:val="contentpasted0"/>
          <w:rFonts w:ascii="Muli" w:hAnsi="Muli"/>
          <w:color w:val="000000"/>
          <w:lang w:val="es-ES_tradnl"/>
        </w:rPr>
        <w:t>, la portavoz de iAhorro</w:t>
      </w:r>
      <w:r w:rsidR="00F00503">
        <w:rPr>
          <w:rStyle w:val="contentpasted0"/>
          <w:rFonts w:ascii="Muli" w:hAnsi="Muli"/>
          <w:color w:val="000000"/>
          <w:lang w:val="es-ES_tradnl"/>
        </w:rPr>
        <w:t xml:space="preserve"> añade la presencia de demanda residencial extranjera y de vivienda de lujo, factores que, a su juicio “dificultan especialmente el acceso a los jóvenes”. </w:t>
      </w:r>
    </w:p>
    <w:p w14:paraId="69920706" w14:textId="0F55160C" w:rsidR="00F00503" w:rsidRDefault="00F00503" w:rsidP="00F00503">
      <w:pPr>
        <w:rPr>
          <w:rFonts w:ascii="Muli" w:hAnsi="Muli"/>
          <w:b/>
          <w:bCs/>
          <w:color w:val="243962"/>
        </w:rPr>
      </w:pPr>
      <w:r>
        <w:rPr>
          <w:rFonts w:ascii="Muli" w:hAnsi="Muli"/>
          <w:b/>
          <w:bCs/>
          <w:color w:val="243962"/>
        </w:rPr>
        <w:t xml:space="preserve">Madrid y Cataluña concentran casi la mitad del capital </w:t>
      </w:r>
    </w:p>
    <w:p w14:paraId="598B611B" w14:textId="6CC57D8C" w:rsidR="00F00503" w:rsidRDefault="00F00503" w:rsidP="00F00503">
      <w:pPr>
        <w:rPr>
          <w:rStyle w:val="contentpasted0"/>
          <w:rFonts w:ascii="Muli" w:hAnsi="Muli"/>
          <w:color w:val="000000"/>
          <w:lang w:val="es-ES_tradnl"/>
        </w:rPr>
      </w:pPr>
      <w:r>
        <w:rPr>
          <w:rStyle w:val="contentpasted0"/>
          <w:rFonts w:ascii="Muli" w:hAnsi="Muli"/>
          <w:color w:val="000000"/>
          <w:lang w:val="es-ES_tradnl"/>
        </w:rPr>
        <w:t xml:space="preserve">La actividad hipotecaria también se concentra </w:t>
      </w:r>
      <w:r w:rsidR="00FF3AC9">
        <w:rPr>
          <w:rStyle w:val="contentpasted0"/>
          <w:rFonts w:ascii="Muli" w:hAnsi="Muli"/>
          <w:color w:val="000000"/>
          <w:lang w:val="es-ES_tradnl"/>
        </w:rPr>
        <w:t xml:space="preserve">en </w:t>
      </w:r>
      <w:r w:rsidR="00042419">
        <w:rPr>
          <w:rStyle w:val="contentpasted0"/>
          <w:rFonts w:ascii="Muli" w:hAnsi="Muli"/>
          <w:color w:val="000000"/>
          <w:lang w:val="es-ES_tradnl"/>
        </w:rPr>
        <w:t>pocos territorios</w:t>
      </w:r>
      <w:r>
        <w:rPr>
          <w:rStyle w:val="contentpasted0"/>
          <w:rFonts w:ascii="Muli" w:hAnsi="Muli"/>
          <w:color w:val="000000"/>
          <w:lang w:val="es-ES_tradnl"/>
        </w:rPr>
        <w:t xml:space="preserve">. </w:t>
      </w:r>
      <w:r w:rsidR="00042419">
        <w:rPr>
          <w:rStyle w:val="contentpasted0"/>
          <w:rFonts w:ascii="Muli" w:hAnsi="Muli"/>
          <w:color w:val="000000"/>
          <w:lang w:val="es-ES_tradnl"/>
        </w:rPr>
        <w:t xml:space="preserve">La Comunidad de </w:t>
      </w:r>
      <w:r>
        <w:rPr>
          <w:rStyle w:val="contentpasted0"/>
          <w:rFonts w:ascii="Muli" w:hAnsi="Muli"/>
          <w:color w:val="000000"/>
          <w:lang w:val="es-ES_tradnl"/>
        </w:rPr>
        <w:t xml:space="preserve">Madrid y Cataluña reúnen el 43,2% del capital prestado en el primer semestre de 2026, pese a representar el 33,8% del número de operaciones. Es decir, su peso en el dinero concedido es sensiblemente superior a su participación en las firmas. Si se incorporan Andalucía y la </w:t>
      </w:r>
      <w:proofErr w:type="spellStart"/>
      <w:r>
        <w:rPr>
          <w:rStyle w:val="contentpasted0"/>
          <w:rFonts w:ascii="Muli" w:hAnsi="Muli"/>
          <w:color w:val="000000"/>
          <w:lang w:val="es-ES_tradnl"/>
        </w:rPr>
        <w:t>Comunitat</w:t>
      </w:r>
      <w:proofErr w:type="spellEnd"/>
      <w:r>
        <w:rPr>
          <w:rStyle w:val="contentpasted0"/>
          <w:rFonts w:ascii="Muli" w:hAnsi="Muli"/>
          <w:color w:val="000000"/>
          <w:lang w:val="es-ES_tradnl"/>
        </w:rPr>
        <w:t xml:space="preserve"> Valenciana, estas cuatro comunidades suman el 65,4% de todas las operaciones del periodo. </w:t>
      </w:r>
    </w:p>
    <w:p w14:paraId="470CBEE0" w14:textId="4CEC40C0" w:rsidR="00F00503" w:rsidRDefault="00F00503" w:rsidP="00F00503">
      <w:pPr>
        <w:rPr>
          <w:rStyle w:val="contentpasted0"/>
          <w:rFonts w:ascii="Muli" w:hAnsi="Muli"/>
          <w:color w:val="000000"/>
          <w:lang w:val="es-ES_tradnl"/>
        </w:rPr>
      </w:pPr>
      <w:r>
        <w:rPr>
          <w:rStyle w:val="contentpasted0"/>
          <w:rFonts w:ascii="Muli" w:hAnsi="Muli"/>
          <w:color w:val="000000"/>
          <w:lang w:val="es-ES_tradnl"/>
        </w:rPr>
        <w:t xml:space="preserve">Para Martínez, la explicación principal está en el precio de la vivienda. </w:t>
      </w:r>
      <w:r w:rsidR="00042419">
        <w:rPr>
          <w:rStyle w:val="contentpasted0"/>
          <w:rFonts w:ascii="Muli" w:hAnsi="Muli"/>
          <w:color w:val="000000"/>
          <w:lang w:val="es-ES_tradnl"/>
        </w:rPr>
        <w:t>La directora de Comunicación del comparador hipotecario s</w:t>
      </w:r>
      <w:r>
        <w:rPr>
          <w:rStyle w:val="contentpasted0"/>
          <w:rFonts w:ascii="Muli" w:hAnsi="Muli"/>
          <w:color w:val="000000"/>
          <w:lang w:val="es-ES_tradnl"/>
        </w:rPr>
        <w:t xml:space="preserve">eñala que </w:t>
      </w:r>
      <w:r w:rsidR="00042419">
        <w:rPr>
          <w:rStyle w:val="contentpasted0"/>
          <w:rFonts w:ascii="Muli" w:hAnsi="Muli"/>
          <w:color w:val="000000"/>
          <w:lang w:val="es-ES_tradnl"/>
        </w:rPr>
        <w:t>“</w:t>
      </w:r>
      <w:r>
        <w:rPr>
          <w:rStyle w:val="contentpasted0"/>
          <w:rFonts w:ascii="Muli" w:hAnsi="Muli"/>
          <w:color w:val="000000"/>
          <w:lang w:val="es-ES_tradnl"/>
        </w:rPr>
        <w:t xml:space="preserve">comprar en Madrid o </w:t>
      </w:r>
      <w:r w:rsidR="00042419">
        <w:rPr>
          <w:rStyle w:val="contentpasted0"/>
          <w:rFonts w:ascii="Muli" w:hAnsi="Muli"/>
          <w:color w:val="000000"/>
          <w:lang w:val="es-ES_tradnl"/>
        </w:rPr>
        <w:t xml:space="preserve">Barcelona </w:t>
      </w:r>
      <w:r>
        <w:rPr>
          <w:rStyle w:val="contentpasted0"/>
          <w:rFonts w:ascii="Muli" w:hAnsi="Muli"/>
          <w:color w:val="000000"/>
          <w:lang w:val="es-ES_tradnl"/>
        </w:rPr>
        <w:t>exige, en términos generales, una capacidad de ahorro y financiación diferente a la necesaria en otras capitales de provincia</w:t>
      </w:r>
      <w:r w:rsidR="00042419">
        <w:rPr>
          <w:rStyle w:val="contentpasted0"/>
          <w:rFonts w:ascii="Muli" w:hAnsi="Muli"/>
          <w:color w:val="000000"/>
          <w:lang w:val="es-ES_tradnl"/>
        </w:rPr>
        <w:t>”</w:t>
      </w:r>
      <w:r>
        <w:rPr>
          <w:rStyle w:val="contentpasted0"/>
          <w:rFonts w:ascii="Muli" w:hAnsi="Muli"/>
          <w:color w:val="000000"/>
          <w:lang w:val="es-ES_tradnl"/>
        </w:rPr>
        <w:t xml:space="preserve">. </w:t>
      </w:r>
      <w:r w:rsidR="00042419">
        <w:rPr>
          <w:rStyle w:val="contentpasted0"/>
          <w:rFonts w:ascii="Muli" w:hAnsi="Muli"/>
          <w:color w:val="000000"/>
          <w:lang w:val="es-ES_tradnl"/>
        </w:rPr>
        <w:t>Y t</w:t>
      </w:r>
      <w:r>
        <w:rPr>
          <w:rStyle w:val="contentpasted0"/>
          <w:rFonts w:ascii="Muli" w:hAnsi="Muli"/>
          <w:color w:val="000000"/>
          <w:lang w:val="es-ES_tradnl"/>
        </w:rPr>
        <w:t>ambién apunta a diferencias en la oferta bancaria local: “</w:t>
      </w:r>
      <w:r w:rsidR="00042419">
        <w:rPr>
          <w:rStyle w:val="contentpasted0"/>
          <w:rFonts w:ascii="Muli" w:hAnsi="Muli"/>
          <w:color w:val="000000"/>
          <w:lang w:val="es-ES_tradnl"/>
        </w:rPr>
        <w:t>E</w:t>
      </w:r>
      <w:r>
        <w:rPr>
          <w:rStyle w:val="contentpasted0"/>
          <w:rFonts w:ascii="Muli" w:hAnsi="Muli"/>
          <w:color w:val="000000"/>
          <w:lang w:val="es-ES_tradnl"/>
        </w:rPr>
        <w:t xml:space="preserve">n determinados mercados de menor importe, las cajas rurales pueden desempeñar un papel más destacado”. </w:t>
      </w:r>
    </w:p>
    <w:p w14:paraId="18143A27" w14:textId="299668A8" w:rsidR="00F00503" w:rsidRDefault="00F00503" w:rsidP="00F00503">
      <w:pPr>
        <w:rPr>
          <w:rStyle w:val="contentpasted0"/>
          <w:rFonts w:ascii="Muli" w:hAnsi="Muli"/>
          <w:color w:val="000000"/>
          <w:lang w:val="es-ES_tradnl"/>
        </w:rPr>
      </w:pPr>
      <w:r>
        <w:rPr>
          <w:rStyle w:val="contentpasted0"/>
          <w:rFonts w:ascii="Muli" w:hAnsi="Muli"/>
          <w:color w:val="000000"/>
          <w:lang w:val="es-ES_tradnl"/>
        </w:rPr>
        <w:t>El dinamismo no se reparte</w:t>
      </w:r>
      <w:r w:rsidR="00042419">
        <w:rPr>
          <w:rStyle w:val="contentpasted0"/>
          <w:rFonts w:ascii="Muli" w:hAnsi="Muli"/>
          <w:color w:val="000000"/>
          <w:lang w:val="es-ES_tradnl"/>
        </w:rPr>
        <w:t>,</w:t>
      </w:r>
      <w:r>
        <w:rPr>
          <w:rStyle w:val="contentpasted0"/>
          <w:rFonts w:ascii="Muli" w:hAnsi="Muli"/>
          <w:color w:val="000000"/>
          <w:lang w:val="es-ES_tradnl"/>
        </w:rPr>
        <w:t xml:space="preserve"> sin embargo</w:t>
      </w:r>
      <w:r w:rsidR="00042419">
        <w:rPr>
          <w:rStyle w:val="contentpasted0"/>
          <w:rFonts w:ascii="Muli" w:hAnsi="Muli"/>
          <w:color w:val="000000"/>
          <w:lang w:val="es-ES_tradnl"/>
        </w:rPr>
        <w:t>,</w:t>
      </w:r>
      <w:r>
        <w:rPr>
          <w:rStyle w:val="contentpasted0"/>
          <w:rFonts w:ascii="Muli" w:hAnsi="Muli"/>
          <w:color w:val="000000"/>
          <w:lang w:val="es-ES_tradnl"/>
        </w:rPr>
        <w:t xml:space="preserve"> de manera uniforme. Navarra encabeza los crecimientos destacados </w:t>
      </w:r>
      <w:r w:rsidR="00042419">
        <w:rPr>
          <w:rStyle w:val="contentpasted0"/>
          <w:rFonts w:ascii="Muli" w:hAnsi="Muli"/>
          <w:color w:val="000000"/>
          <w:lang w:val="es-ES_tradnl"/>
        </w:rPr>
        <w:t>del primer semestre de 2026</w:t>
      </w:r>
      <w:r>
        <w:rPr>
          <w:rStyle w:val="contentpasted0"/>
          <w:rFonts w:ascii="Muli" w:hAnsi="Muli"/>
          <w:color w:val="000000"/>
          <w:lang w:val="es-ES_tradnl"/>
        </w:rPr>
        <w:t xml:space="preserve">, con un 19,5% más de hipotecas y un 28,8% más de capital; Castilla-La Mancha registra aumentos del 14,1% y 27,6% respectivamente; y Cataluña, del 12,9% y el 22,3%. </w:t>
      </w:r>
      <w:r w:rsidR="00042419">
        <w:rPr>
          <w:rStyle w:val="contentpasted0"/>
          <w:rFonts w:ascii="Muli" w:hAnsi="Muli"/>
          <w:color w:val="000000"/>
          <w:lang w:val="es-ES_tradnl"/>
        </w:rPr>
        <w:t xml:space="preserve">La Comunidad de </w:t>
      </w:r>
      <w:r>
        <w:rPr>
          <w:rStyle w:val="contentpasted0"/>
          <w:rFonts w:ascii="Muli" w:hAnsi="Muli"/>
          <w:color w:val="000000"/>
          <w:lang w:val="es-ES_tradnl"/>
        </w:rPr>
        <w:t>Madrid incrementa las operaciones un 11,5%. Por el contrario,</w:t>
      </w:r>
      <w:r w:rsidR="00042419">
        <w:rPr>
          <w:rStyle w:val="contentpasted0"/>
          <w:rFonts w:ascii="Muli" w:hAnsi="Muli"/>
          <w:color w:val="000000"/>
          <w:lang w:val="es-ES_tradnl"/>
        </w:rPr>
        <w:t xml:space="preserve"> </w:t>
      </w:r>
      <w:r>
        <w:rPr>
          <w:rStyle w:val="contentpasted0"/>
          <w:rFonts w:ascii="Muli" w:hAnsi="Muli"/>
          <w:color w:val="000000"/>
          <w:lang w:val="es-ES_tradnl"/>
        </w:rPr>
        <w:t>Baleares reduce las firmas un 10,1% y el capital un 0,7%</w:t>
      </w:r>
      <w:r w:rsidR="00042419">
        <w:rPr>
          <w:rStyle w:val="contentpasted0"/>
          <w:rFonts w:ascii="Muli" w:hAnsi="Muli"/>
          <w:color w:val="000000"/>
          <w:lang w:val="es-ES_tradnl"/>
        </w:rPr>
        <w:t xml:space="preserve">; y se convierte en </w:t>
      </w:r>
      <w:r>
        <w:rPr>
          <w:rStyle w:val="contentpasted0"/>
          <w:rFonts w:ascii="Muli" w:hAnsi="Muli"/>
          <w:color w:val="000000"/>
          <w:lang w:val="es-ES_tradnl"/>
        </w:rPr>
        <w:t xml:space="preserve">la única comunidad </w:t>
      </w:r>
      <w:r w:rsidR="00042419">
        <w:rPr>
          <w:rStyle w:val="contentpasted0"/>
          <w:rFonts w:ascii="Muli" w:hAnsi="Muli"/>
          <w:color w:val="000000"/>
          <w:lang w:val="es-ES_tradnl"/>
        </w:rPr>
        <w:t xml:space="preserve">autónoma </w:t>
      </w:r>
      <w:r>
        <w:rPr>
          <w:rStyle w:val="contentpasted0"/>
          <w:rFonts w:ascii="Muli" w:hAnsi="Muli"/>
          <w:color w:val="000000"/>
          <w:lang w:val="es-ES_tradnl"/>
        </w:rPr>
        <w:t xml:space="preserve">donde el dinero concedido retrocede. </w:t>
      </w:r>
    </w:p>
    <w:p w14:paraId="62692BB4" w14:textId="4221D392" w:rsidR="00F00503" w:rsidRDefault="00F00503" w:rsidP="00F00503">
      <w:pPr>
        <w:rPr>
          <w:rStyle w:val="contentpasted0"/>
          <w:rFonts w:ascii="Muli" w:hAnsi="Muli"/>
          <w:color w:val="000000"/>
          <w:lang w:val="es-ES_tradnl"/>
        </w:rPr>
      </w:pPr>
      <w:r>
        <w:rPr>
          <w:rStyle w:val="contentpasted0"/>
          <w:rFonts w:ascii="Muli" w:hAnsi="Muli"/>
          <w:color w:val="000000"/>
          <w:lang w:val="es-ES_tradnl"/>
        </w:rPr>
        <w:t>También disminuye el número de operaciones</w:t>
      </w:r>
      <w:r w:rsidR="00042419">
        <w:rPr>
          <w:rStyle w:val="contentpasted0"/>
          <w:rFonts w:ascii="Muli" w:hAnsi="Muli"/>
          <w:color w:val="000000"/>
          <w:lang w:val="es-ES_tradnl"/>
        </w:rPr>
        <w:t xml:space="preserve"> hipotecarias ejecutadas</w:t>
      </w:r>
      <w:r>
        <w:rPr>
          <w:rStyle w:val="contentpasted0"/>
          <w:rFonts w:ascii="Muli" w:hAnsi="Muli"/>
          <w:color w:val="000000"/>
          <w:lang w:val="es-ES_tradnl"/>
        </w:rPr>
        <w:t xml:space="preserve"> en Castilla y León (-4,7%), País Vasco (-3,3%) y Galicia (-3,2%). </w:t>
      </w:r>
      <w:r w:rsidR="00042419">
        <w:rPr>
          <w:rStyle w:val="contentpasted0"/>
          <w:rFonts w:ascii="Muli" w:hAnsi="Muli"/>
          <w:color w:val="000000"/>
          <w:lang w:val="es-ES_tradnl"/>
        </w:rPr>
        <w:t>Y, e</w:t>
      </w:r>
      <w:r>
        <w:rPr>
          <w:rStyle w:val="contentpasted0"/>
          <w:rFonts w:ascii="Muli" w:hAnsi="Muli"/>
          <w:color w:val="000000"/>
          <w:lang w:val="es-ES_tradnl"/>
        </w:rPr>
        <w:t xml:space="preserve">n términos de intensidad por población, Cataluña registra 5,85 </w:t>
      </w:r>
      <w:r w:rsidR="00042419">
        <w:rPr>
          <w:rStyle w:val="contentpasted0"/>
          <w:rFonts w:ascii="Muli" w:hAnsi="Muli"/>
          <w:color w:val="000000"/>
          <w:lang w:val="es-ES_tradnl"/>
        </w:rPr>
        <w:t xml:space="preserve">firmas de </w:t>
      </w:r>
      <w:r>
        <w:rPr>
          <w:rStyle w:val="contentpasted0"/>
          <w:rFonts w:ascii="Muli" w:hAnsi="Muli"/>
          <w:color w:val="000000"/>
          <w:lang w:val="es-ES_tradnl"/>
        </w:rPr>
        <w:t>hipotecas por cada 1.000 habitantes y Andalucía 5,82</w:t>
      </w:r>
      <w:r w:rsidR="00042419">
        <w:rPr>
          <w:rStyle w:val="contentpasted0"/>
          <w:rFonts w:ascii="Muli" w:hAnsi="Muli"/>
          <w:color w:val="000000"/>
          <w:lang w:val="es-ES_tradnl"/>
        </w:rPr>
        <w:t xml:space="preserve">; </w:t>
      </w:r>
      <w:r>
        <w:rPr>
          <w:rStyle w:val="contentpasted0"/>
          <w:rFonts w:ascii="Muli" w:hAnsi="Muli"/>
          <w:color w:val="000000"/>
          <w:lang w:val="es-ES_tradnl"/>
        </w:rPr>
        <w:t>frente a las 3,39 de Galicia y las 3,85 de Canarias, de acuerdo con los cálculos recogidos en el estudio</w:t>
      </w:r>
      <w:r w:rsidR="002C6459">
        <w:rPr>
          <w:rStyle w:val="contentpasted0"/>
          <w:rFonts w:ascii="Muli" w:hAnsi="Muli"/>
          <w:color w:val="000000"/>
          <w:lang w:val="es-ES_tradnl"/>
        </w:rPr>
        <w:t xml:space="preserve"> realizado por iAhorro.</w:t>
      </w:r>
    </w:p>
    <w:p w14:paraId="792D1256" w14:textId="77777777" w:rsidR="002C6459" w:rsidRDefault="002C6459" w:rsidP="00F00503">
      <w:pPr>
        <w:rPr>
          <w:rStyle w:val="contentpasted0"/>
          <w:rFonts w:ascii="Muli" w:hAnsi="Muli"/>
          <w:color w:val="000000"/>
          <w:lang w:val="es-ES_tradnl"/>
        </w:rPr>
      </w:pPr>
    </w:p>
    <w:p w14:paraId="787CEA6D" w14:textId="527A9328" w:rsidR="00F00503" w:rsidRDefault="00F00503" w:rsidP="00F00503">
      <w:pPr>
        <w:rPr>
          <w:rFonts w:ascii="Muli" w:hAnsi="Muli"/>
          <w:b/>
          <w:bCs/>
          <w:color w:val="243962"/>
        </w:rPr>
      </w:pPr>
      <w:r>
        <w:rPr>
          <w:rFonts w:ascii="Muli" w:hAnsi="Muli"/>
          <w:b/>
          <w:bCs/>
          <w:color w:val="243962"/>
        </w:rPr>
        <w:t xml:space="preserve">Nota metodológica </w:t>
      </w:r>
    </w:p>
    <w:p w14:paraId="73997799" w14:textId="77777777" w:rsidR="00C010E0" w:rsidRDefault="00F00503" w:rsidP="00B65EE7">
      <w:pPr>
        <w:spacing w:line="276" w:lineRule="auto"/>
        <w:rPr>
          <w:rStyle w:val="contentpasted0"/>
          <w:rFonts w:ascii="Muli" w:hAnsi="Muli"/>
          <w:color w:val="000000"/>
          <w:lang w:val="es-ES_tradnl"/>
        </w:rPr>
      </w:pPr>
      <w:r>
        <w:rPr>
          <w:rStyle w:val="contentpasted0"/>
          <w:rFonts w:ascii="Muli" w:hAnsi="Muli"/>
          <w:color w:val="000000"/>
          <w:lang w:val="es-ES_tradnl"/>
        </w:rPr>
        <w:t>El análisis del primer semestre utiliza la Estadística de Hipotecas del INE para las operaciones, capital e importe medio. La cuota, el esfuerzo, el endeudamiento, plazo y el interés corresponden a la Estadística Registral Inmobiliaria del Colegio de Registradores del segundo trimestre de 2026. Las dos fuentes tienen coberturas y metodologías diferentes y sus importes medios no deben interpret</w:t>
      </w:r>
      <w:r w:rsidR="00C010E0">
        <w:rPr>
          <w:rStyle w:val="contentpasted0"/>
          <w:rFonts w:ascii="Muli" w:hAnsi="Muli"/>
          <w:color w:val="000000"/>
          <w:lang w:val="es-ES_tradnl"/>
        </w:rPr>
        <w:t xml:space="preserve">arse como una única serie. Las cifras generales del INE que se presentan suman las diecisiete comunidades autónomas y excluyen Ceuta y Melilla. </w:t>
      </w:r>
    </w:p>
    <w:p w14:paraId="7527B049" w14:textId="4B5AD6E6" w:rsidR="00C010E0" w:rsidRDefault="00C010E0" w:rsidP="00B65EE7">
      <w:pPr>
        <w:spacing w:line="276" w:lineRule="auto"/>
        <w:rPr>
          <w:rStyle w:val="contentpasted0"/>
          <w:rFonts w:ascii="Muli" w:hAnsi="Muli"/>
          <w:color w:val="000000"/>
          <w:lang w:val="es-ES_tradnl"/>
        </w:rPr>
      </w:pPr>
      <w:r>
        <w:rPr>
          <w:rStyle w:val="contentpasted0"/>
          <w:rFonts w:ascii="Muli" w:hAnsi="Muli"/>
          <w:color w:val="000000"/>
          <w:lang w:val="es-ES_tradnl"/>
        </w:rPr>
        <w:t xml:space="preserve">La población de referencia sigue siendo la </w:t>
      </w:r>
      <w:r w:rsidR="002C6459">
        <w:rPr>
          <w:rStyle w:val="contentpasted0"/>
          <w:rFonts w:ascii="Muli" w:hAnsi="Muli"/>
          <w:color w:val="000000"/>
          <w:lang w:val="es-ES_tradnl"/>
        </w:rPr>
        <w:t>de las cifras</w:t>
      </w:r>
      <w:r>
        <w:rPr>
          <w:rStyle w:val="contentpasted0"/>
          <w:rFonts w:ascii="Muli" w:hAnsi="Muli"/>
          <w:color w:val="000000"/>
          <w:lang w:val="es-ES_tradnl"/>
        </w:rPr>
        <w:t xml:space="preserve"> oficiales a 1 de enero de 2025, últimas publicadas con desglose autonómico; la Estadística Continua de Población sitúa </w:t>
      </w:r>
      <w:r w:rsidR="000D52B0">
        <w:rPr>
          <w:rStyle w:val="contentpasted0"/>
          <w:rFonts w:ascii="Muli" w:hAnsi="Muli"/>
          <w:color w:val="000000"/>
          <w:lang w:val="es-ES_tradnl"/>
        </w:rPr>
        <w:t xml:space="preserve">ya a España en 49,8 millones de habitantes a 1 de julio de 2026. El plazo registral se difunde en meses y se convierte a años dividiendo entre doce. La cuota publicada por comunidad coincide sin desviación con la que resulta de aplicar la amortización francesa el endeudamiento medio, el plazo y el tipo de cada territorio, lo que confirma la coherencia interna de la serie. </w:t>
      </w:r>
    </w:p>
    <w:p w14:paraId="212736A6" w14:textId="77777777" w:rsidR="002C6459" w:rsidRDefault="002C6459" w:rsidP="00B65EE7">
      <w:pPr>
        <w:spacing w:line="276" w:lineRule="auto"/>
        <w:rPr>
          <w:rStyle w:val="contentpasted0"/>
          <w:rFonts w:ascii="Muli" w:hAnsi="Muli"/>
          <w:color w:val="000000"/>
          <w:lang w:val="es-ES_tradnl"/>
        </w:rPr>
      </w:pPr>
    </w:p>
    <w:p w14:paraId="51A6B95C" w14:textId="3657B189" w:rsidR="00AF352F" w:rsidRPr="006133DB" w:rsidRDefault="00AF352F" w:rsidP="00B65EE7">
      <w:pPr>
        <w:rPr>
          <w:rStyle w:val="contentpasted0"/>
          <w:rFonts w:ascii="Muli" w:hAnsi="Muli"/>
          <w:b/>
          <w:bCs/>
          <w:color w:val="243962"/>
          <w:lang w:val="es-ES_tradnl"/>
        </w:rPr>
      </w:pPr>
      <w:r>
        <w:rPr>
          <w:rStyle w:val="contentpasted0"/>
          <w:rFonts w:ascii="Muli" w:hAnsi="Muli"/>
          <w:b/>
          <w:bCs/>
          <w:color w:val="243962"/>
          <w:lang w:val="es-ES_tradnl"/>
        </w:rPr>
        <w:t>Si</w:t>
      </w:r>
      <w:r w:rsidRPr="0019551E">
        <w:rPr>
          <w:rStyle w:val="contentpasted0"/>
          <w:rFonts w:ascii="Muli" w:hAnsi="Muli"/>
          <w:b/>
          <w:bCs/>
          <w:color w:val="243962"/>
          <w:lang w:val="es-ES_tradnl"/>
        </w:rPr>
        <w:t xml:space="preserve"> necesita más información o declaraciones en formato audiovisual: </w:t>
      </w:r>
      <w:r w:rsidRPr="0019551E">
        <w:rPr>
          <w:rStyle w:val="contentpasted0"/>
          <w:rFonts w:ascii="Muli" w:hAnsi="Muli"/>
          <w:color w:val="000000"/>
          <w:lang w:val="es-ES_tradnl"/>
        </w:rPr>
        <w:t>Póngase en contacto con el departamento de Comunicación. </w:t>
      </w:r>
    </w:p>
    <w:p w14:paraId="4C73E961" w14:textId="77777777" w:rsidR="002C6025" w:rsidRDefault="002C6025" w:rsidP="00B65EE7">
      <w:pPr>
        <w:rPr>
          <w:rStyle w:val="contentpasted0"/>
          <w:rFonts w:ascii="Muli" w:hAnsi="Muli"/>
          <w:color w:val="000000"/>
          <w:lang w:val="es-ES_tradnl"/>
        </w:rPr>
      </w:pPr>
    </w:p>
    <w:p w14:paraId="24BC8E1F" w14:textId="77777777" w:rsidR="00AF352F" w:rsidRDefault="00AF352F" w:rsidP="00B65EE7">
      <w:pPr>
        <w:rPr>
          <w:rFonts w:ascii="Muli" w:hAnsi="Muli"/>
          <w:b/>
          <w:color w:val="243962"/>
          <w:lang w:val="es-ES_tradnl"/>
        </w:rPr>
      </w:pPr>
      <w:r>
        <w:rPr>
          <w:rFonts w:ascii="Muli" w:hAnsi="Muli"/>
          <w:b/>
          <w:color w:val="243962"/>
          <w:lang w:val="es-ES_tradnl"/>
        </w:rPr>
        <w:t xml:space="preserve">Sobre iAhorro </w:t>
      </w:r>
    </w:p>
    <w:p w14:paraId="70A50271" w14:textId="77777777" w:rsidR="00AF352F" w:rsidRDefault="00AF352F" w:rsidP="00AF352F">
      <w:pPr>
        <w:rPr>
          <w:rFonts w:ascii="Muli" w:hAnsi="Muli"/>
        </w:rPr>
      </w:pPr>
      <w:r>
        <w:rPr>
          <w:rFonts w:ascii="Muli" w:hAnsi="Muli"/>
        </w:rPr>
        <w:t>iAhorro es el asesor hipotecario líder en España. El objetivo de la empresa es ayudar a los usuarios a contratar las hipotecas que mejor se adapten a sus necesidades.</w:t>
      </w:r>
    </w:p>
    <w:p w14:paraId="055B9853" w14:textId="77777777" w:rsidR="00AF352F" w:rsidRDefault="00AF352F" w:rsidP="00AF352F">
      <w:pPr>
        <w:rPr>
          <w:rFonts w:ascii="Muli" w:hAnsi="Muli"/>
        </w:rPr>
      </w:pPr>
      <w:r>
        <w:rPr>
          <w:rFonts w:ascii="Muli" w:hAnsi="Muli"/>
        </w:rPr>
        <w:t xml:space="preserve">iAhorro está certificada como empresa Intermediaria de Crédito Inmobiliario nºD185 por el Banco de España. iAhorro es una empresa independiente de las entidades financieras. Es propiedad del Grupo BC y está respaldado por el fondo Silver Lake. </w:t>
      </w:r>
    </w:p>
    <w:p w14:paraId="25EF5197" w14:textId="77777777" w:rsidR="00AF352F" w:rsidRDefault="00AF352F" w:rsidP="00AF352F">
      <w:pPr>
        <w:rPr>
          <w:rFonts w:ascii="Muli" w:hAnsi="Muli"/>
        </w:rPr>
      </w:pPr>
      <w:r>
        <w:rPr>
          <w:rFonts w:ascii="Muli" w:hAnsi="Muli"/>
        </w:rPr>
        <w:t xml:space="preserve">Fundado en 1974 con sede en Madrid, Grupo BC es el proveedor líder de servicios y software para la gestión hipotecaria, intermediación hipotecaria online, soluciones legales (tramitación de reclamaciones y gestión de préstamos) y soluciones digitales para el sector financiero en España, Portugal, México, Brasil, Colombia, Chile y Perú. Grupo BC es líder del mercado en sus principales áreas de interés, con más de 500.000 expedientes hipotecarios procesados al año y 5.300 colaboradores. </w:t>
      </w:r>
    </w:p>
    <w:p w14:paraId="6919D27D" w14:textId="77777777" w:rsidR="00AF352F" w:rsidRDefault="00AF352F" w:rsidP="00AF352F">
      <w:r>
        <w:rPr>
          <w:rFonts w:ascii="Muli" w:hAnsi="Muli"/>
        </w:rPr>
        <w:t>Silver Lake es una firma global de inversión en compañías tecnológicas, con más de 101.000 millones de dólares en activos bajo gestión y capital comprometido y un equipo de profesionales en Norteamérica, Europa y Asia. Las empresas en la cartera de Silver Lake generan colectivamente más de 266.000 millones de dólares de facturación anual y emplean a más de 540.000 personas en todo el mundo.</w:t>
      </w:r>
    </w:p>
    <w:p w14:paraId="61FA128E" w14:textId="77777777" w:rsidR="00AF352F" w:rsidRDefault="00AF352F" w:rsidP="00AF352F"/>
    <w:sectPr w:rsidR="00AF352F" w:rsidSect="00AF352F">
      <w:headerReference w:type="default" r:id="rId10"/>
      <w:footerReference w:type="default" r:id="rId11"/>
      <w:pgSz w:w="11906" w:h="16838"/>
      <w:pgMar w:top="1417" w:right="1701" w:bottom="1417" w:left="1701" w:header="34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1B0FC" w14:textId="77777777" w:rsidR="00AF50E3" w:rsidRDefault="00AF50E3" w:rsidP="00AF352F">
      <w:pPr>
        <w:spacing w:after="0" w:line="240" w:lineRule="auto"/>
      </w:pPr>
      <w:r>
        <w:separator/>
      </w:r>
    </w:p>
  </w:endnote>
  <w:endnote w:type="continuationSeparator" w:id="0">
    <w:p w14:paraId="4567F351" w14:textId="77777777" w:rsidR="00AF50E3" w:rsidRDefault="00AF50E3" w:rsidP="00AF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uli">
    <w:altName w:val="Calibri"/>
    <w:panose1 w:val="00000000000000000000"/>
    <w:charset w:val="00"/>
    <w:family w:val="auto"/>
    <w:pitch w:val="variable"/>
    <w:sig w:usb0="A00000FF" w:usb1="5000204B" w:usb2="00000000" w:usb3="00000000" w:csb0="00000193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70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80"/>
      <w:gridCol w:w="2556"/>
      <w:gridCol w:w="2556"/>
    </w:tblGrid>
    <w:tr w:rsidR="00AF352F" w:rsidRPr="003D3BAA" w14:paraId="6E12FB8B" w14:textId="77777777" w:rsidTr="00DB0E98">
      <w:trPr>
        <w:trHeight w:val="132"/>
      </w:trPr>
      <w:tc>
        <w:tcPr>
          <w:tcW w:w="1980" w:type="dxa"/>
          <w:vAlign w:val="center"/>
        </w:tcPr>
        <w:p w14:paraId="02024C50" w14:textId="77777777" w:rsidR="00AF352F" w:rsidRDefault="00AF352F" w:rsidP="00AF352F">
          <w:pPr>
            <w:pStyle w:val="Piedepgina"/>
            <w:tabs>
              <w:tab w:val="clear" w:pos="4252"/>
              <w:tab w:val="clear" w:pos="8504"/>
              <w:tab w:val="left" w:pos="1036"/>
            </w:tabs>
            <w:rPr>
              <w:b/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69490066" wp14:editId="30A14177">
                <wp:extent cx="1041991" cy="493123"/>
                <wp:effectExtent l="0" t="0" r="0" b="0"/>
                <wp:docPr id="42289635" name="Gráfico 422896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WIP-marca-iahorro-v5.1-12.sv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3646" cy="5223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6" w:type="dxa"/>
          <w:vAlign w:val="center"/>
        </w:tcPr>
        <w:p w14:paraId="2D3639CF" w14:textId="77777777" w:rsidR="00AF352F" w:rsidRDefault="00AF352F" w:rsidP="00AF352F">
          <w:pPr>
            <w:pStyle w:val="Piedepgina"/>
            <w:tabs>
              <w:tab w:val="clear" w:pos="4252"/>
              <w:tab w:val="clear" w:pos="8504"/>
              <w:tab w:val="left" w:pos="1036"/>
            </w:tabs>
            <w:rPr>
              <w:b/>
              <w:sz w:val="18"/>
              <w:szCs w:val="18"/>
            </w:rPr>
          </w:pPr>
        </w:p>
        <w:p w14:paraId="14547C24" w14:textId="77777777" w:rsidR="00AF352F" w:rsidRPr="00204B1C" w:rsidRDefault="00AF352F" w:rsidP="00AF352F">
          <w:pPr>
            <w:pStyle w:val="Piedepgina"/>
            <w:tabs>
              <w:tab w:val="clear" w:pos="4252"/>
              <w:tab w:val="clear" w:pos="8504"/>
              <w:tab w:val="left" w:pos="1036"/>
            </w:tabs>
            <w:rPr>
              <w:b/>
              <w:sz w:val="18"/>
              <w:szCs w:val="18"/>
            </w:rPr>
          </w:pPr>
          <w:r w:rsidRPr="009458B8">
            <w:rPr>
              <w:b/>
              <w:sz w:val="18"/>
              <w:szCs w:val="18"/>
            </w:rPr>
            <w:t>Laura Martínez</w:t>
          </w:r>
          <w:r w:rsidRPr="009458B8">
            <w:rPr>
              <w:sz w:val="18"/>
              <w:szCs w:val="18"/>
            </w:rPr>
            <w:t xml:space="preserve"> </w:t>
          </w:r>
          <w:r>
            <w:rPr>
              <w:sz w:val="18"/>
              <w:szCs w:val="18"/>
            </w:rPr>
            <w:t>– 686 688 757</w:t>
          </w:r>
          <w:r w:rsidRPr="009458B8">
            <w:rPr>
              <w:sz w:val="18"/>
              <w:szCs w:val="18"/>
            </w:rPr>
            <w:br/>
          </w:r>
          <w:hyperlink r:id="rId3" w:history="1">
            <w:r w:rsidRPr="009458B8">
              <w:rPr>
                <w:rStyle w:val="Hipervnculo"/>
                <w:sz w:val="18"/>
                <w:szCs w:val="18"/>
              </w:rPr>
              <w:t>laura.martinez@iahorro.com</w:t>
            </w:r>
          </w:hyperlink>
          <w:r w:rsidRPr="009458B8">
            <w:rPr>
              <w:sz w:val="18"/>
              <w:szCs w:val="18"/>
            </w:rPr>
            <w:t xml:space="preserve"> </w:t>
          </w:r>
        </w:p>
        <w:p w14:paraId="082B3591" w14:textId="77777777" w:rsidR="00AF352F" w:rsidRPr="00204B1C" w:rsidRDefault="00AF352F" w:rsidP="00AF352F">
          <w:pPr>
            <w:pStyle w:val="Piedepgina"/>
            <w:tabs>
              <w:tab w:val="clear" w:pos="4252"/>
              <w:tab w:val="clear" w:pos="8504"/>
              <w:tab w:val="left" w:pos="1036"/>
            </w:tabs>
            <w:rPr>
              <w:b/>
              <w:sz w:val="18"/>
              <w:szCs w:val="18"/>
            </w:rPr>
          </w:pPr>
        </w:p>
      </w:tc>
      <w:tc>
        <w:tcPr>
          <w:tcW w:w="2556" w:type="dxa"/>
          <w:vAlign w:val="center"/>
        </w:tcPr>
        <w:p w14:paraId="7CB2AFE6" w14:textId="77777777" w:rsidR="00AF352F" w:rsidRPr="00B34F7A" w:rsidRDefault="00AF352F" w:rsidP="00AF352F">
          <w:pPr>
            <w:pStyle w:val="Piedepgina"/>
            <w:tabs>
              <w:tab w:val="clear" w:pos="4252"/>
              <w:tab w:val="clear" w:pos="8504"/>
              <w:tab w:val="left" w:pos="1036"/>
            </w:tabs>
            <w:rPr>
              <w:b/>
              <w:sz w:val="18"/>
              <w:szCs w:val="18"/>
              <w:lang w:val="pt-PT"/>
            </w:rPr>
          </w:pPr>
          <w:r w:rsidRPr="00B34F7A">
            <w:rPr>
              <w:b/>
              <w:sz w:val="18"/>
              <w:szCs w:val="18"/>
              <w:lang w:val="pt-PT"/>
            </w:rPr>
            <w:t>Noelia Pérez</w:t>
          </w:r>
          <w:r w:rsidRPr="00B34F7A">
            <w:rPr>
              <w:sz w:val="18"/>
              <w:szCs w:val="18"/>
              <w:lang w:val="pt-PT"/>
            </w:rPr>
            <w:t xml:space="preserve"> – 6</w:t>
          </w:r>
          <w:r>
            <w:rPr>
              <w:sz w:val="18"/>
              <w:szCs w:val="18"/>
              <w:lang w:val="pt-PT"/>
            </w:rPr>
            <w:t>53</w:t>
          </w:r>
          <w:r w:rsidRPr="00B34F7A">
            <w:rPr>
              <w:sz w:val="18"/>
              <w:szCs w:val="18"/>
              <w:lang w:val="pt-PT"/>
            </w:rPr>
            <w:t xml:space="preserve"> </w:t>
          </w:r>
          <w:r>
            <w:rPr>
              <w:sz w:val="18"/>
              <w:szCs w:val="18"/>
              <w:lang w:val="pt-PT"/>
            </w:rPr>
            <w:t>247</w:t>
          </w:r>
          <w:r w:rsidRPr="00B34F7A">
            <w:rPr>
              <w:sz w:val="18"/>
              <w:szCs w:val="18"/>
              <w:lang w:val="pt-PT"/>
            </w:rPr>
            <w:t xml:space="preserve"> </w:t>
          </w:r>
          <w:r>
            <w:rPr>
              <w:sz w:val="18"/>
              <w:szCs w:val="18"/>
              <w:lang w:val="pt-PT"/>
            </w:rPr>
            <w:t>16</w:t>
          </w:r>
          <w:r w:rsidRPr="00B34F7A">
            <w:rPr>
              <w:sz w:val="18"/>
              <w:szCs w:val="18"/>
              <w:lang w:val="pt-PT"/>
            </w:rPr>
            <w:t>7</w:t>
          </w:r>
          <w:r w:rsidRPr="00B34F7A">
            <w:rPr>
              <w:sz w:val="18"/>
              <w:szCs w:val="18"/>
              <w:lang w:val="pt-PT"/>
            </w:rPr>
            <w:br/>
          </w:r>
          <w:hyperlink r:id="rId4" w:history="1">
            <w:r w:rsidRPr="00C3103F">
              <w:rPr>
                <w:rStyle w:val="Hipervnculo"/>
                <w:sz w:val="18"/>
                <w:szCs w:val="18"/>
                <w:lang w:val="pt-PT"/>
              </w:rPr>
              <w:t>noelia.perez@iahorro.com</w:t>
            </w:r>
          </w:hyperlink>
        </w:p>
      </w:tc>
    </w:tr>
  </w:tbl>
  <w:p w14:paraId="4B7ED1AB" w14:textId="77777777" w:rsidR="00AF352F" w:rsidRDefault="00AF352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5C6A4" w14:textId="77777777" w:rsidR="00AF50E3" w:rsidRDefault="00AF50E3" w:rsidP="00AF352F">
      <w:pPr>
        <w:spacing w:after="0" w:line="240" w:lineRule="auto"/>
      </w:pPr>
      <w:r>
        <w:separator/>
      </w:r>
    </w:p>
  </w:footnote>
  <w:footnote w:type="continuationSeparator" w:id="0">
    <w:p w14:paraId="3CFC7265" w14:textId="77777777" w:rsidR="00AF50E3" w:rsidRDefault="00AF50E3" w:rsidP="00AF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10070" w14:textId="77777777" w:rsidR="00AF352F" w:rsidRDefault="00AF352F" w:rsidP="00AF352F">
    <w:pPr>
      <w:pStyle w:val="Encabezado"/>
      <w:tabs>
        <w:tab w:val="clear" w:pos="4252"/>
        <w:tab w:val="clear" w:pos="8504"/>
        <w:tab w:val="left" w:pos="3415"/>
        <w:tab w:val="left" w:pos="3492"/>
      </w:tabs>
    </w:pPr>
    <w:r w:rsidRPr="00942871">
      <w:rPr>
        <w:noProof/>
      </w:rPr>
      <w:drawing>
        <wp:anchor distT="0" distB="0" distL="114300" distR="114300" simplePos="0" relativeHeight="251659264" behindDoc="0" locked="0" layoutInCell="1" allowOverlap="1" wp14:anchorId="4E8AB02A" wp14:editId="39950F2E">
          <wp:simplePos x="0" y="0"/>
          <wp:positionH relativeFrom="margin">
            <wp:posOffset>4072890</wp:posOffset>
          </wp:positionH>
          <wp:positionV relativeFrom="topMargin">
            <wp:posOffset>333375</wp:posOffset>
          </wp:positionV>
          <wp:extent cx="1509395" cy="714375"/>
          <wp:effectExtent l="0" t="0" r="0" b="0"/>
          <wp:wrapSquare wrapText="bothSides"/>
          <wp:docPr id="936040866" name="Imagen 9360408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9395" cy="714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26741BF9" wp14:editId="4F61E524">
          <wp:extent cx="1945758" cy="921312"/>
          <wp:effectExtent l="0" t="0" r="0" b="0"/>
          <wp:docPr id="1228877611" name="Gráfico 12288776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IP-marca-iahorro-v5.1-12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5758" cy="9213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2E3AAAA" w14:textId="77777777" w:rsidR="00AF352F" w:rsidRDefault="00AF352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398B"/>
    <w:multiLevelType w:val="multilevel"/>
    <w:tmpl w:val="918C3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E943C3"/>
    <w:multiLevelType w:val="hybridMultilevel"/>
    <w:tmpl w:val="B3D47D2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7681F"/>
    <w:multiLevelType w:val="hybridMultilevel"/>
    <w:tmpl w:val="580401A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B117B1"/>
    <w:multiLevelType w:val="hybridMultilevel"/>
    <w:tmpl w:val="1A266EC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24FE5"/>
    <w:multiLevelType w:val="hybridMultilevel"/>
    <w:tmpl w:val="7ACC4EA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841129"/>
    <w:multiLevelType w:val="multilevel"/>
    <w:tmpl w:val="EAF8D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4A7F61"/>
    <w:multiLevelType w:val="hybridMultilevel"/>
    <w:tmpl w:val="FDECFB9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4A5E7B"/>
    <w:multiLevelType w:val="multilevel"/>
    <w:tmpl w:val="A274C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46402C"/>
    <w:multiLevelType w:val="hybridMultilevel"/>
    <w:tmpl w:val="18B4EF2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AF55E2"/>
    <w:multiLevelType w:val="hybridMultilevel"/>
    <w:tmpl w:val="1FDA7848"/>
    <w:lvl w:ilvl="0" w:tplc="0C0A000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7968206">
    <w:abstractNumId w:val="9"/>
  </w:num>
  <w:num w:numId="2" w16cid:durableId="954869700">
    <w:abstractNumId w:val="0"/>
  </w:num>
  <w:num w:numId="3" w16cid:durableId="758449124">
    <w:abstractNumId w:val="5"/>
  </w:num>
  <w:num w:numId="4" w16cid:durableId="952399395">
    <w:abstractNumId w:val="7"/>
  </w:num>
  <w:num w:numId="5" w16cid:durableId="516500128">
    <w:abstractNumId w:val="8"/>
  </w:num>
  <w:num w:numId="6" w16cid:durableId="1415711067">
    <w:abstractNumId w:val="2"/>
  </w:num>
  <w:num w:numId="7" w16cid:durableId="758791471">
    <w:abstractNumId w:val="6"/>
  </w:num>
  <w:num w:numId="8" w16cid:durableId="976421728">
    <w:abstractNumId w:val="4"/>
  </w:num>
  <w:num w:numId="9" w16cid:durableId="509880602">
    <w:abstractNumId w:val="1"/>
  </w:num>
  <w:num w:numId="10" w16cid:durableId="14598361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52F"/>
    <w:rsid w:val="00006768"/>
    <w:rsid w:val="00011E0E"/>
    <w:rsid w:val="00015FB0"/>
    <w:rsid w:val="0003265A"/>
    <w:rsid w:val="00042419"/>
    <w:rsid w:val="00043557"/>
    <w:rsid w:val="00051655"/>
    <w:rsid w:val="000576F7"/>
    <w:rsid w:val="00067B42"/>
    <w:rsid w:val="00086055"/>
    <w:rsid w:val="000B4BC1"/>
    <w:rsid w:val="000C03F7"/>
    <w:rsid w:val="000C56F8"/>
    <w:rsid w:val="000D367F"/>
    <w:rsid w:val="000D52B0"/>
    <w:rsid w:val="000E0494"/>
    <w:rsid w:val="000F6733"/>
    <w:rsid w:val="00102349"/>
    <w:rsid w:val="001314CF"/>
    <w:rsid w:val="00142989"/>
    <w:rsid w:val="0014369C"/>
    <w:rsid w:val="00156486"/>
    <w:rsid w:val="001603CB"/>
    <w:rsid w:val="00172EB9"/>
    <w:rsid w:val="00186CC2"/>
    <w:rsid w:val="00186E0E"/>
    <w:rsid w:val="00187137"/>
    <w:rsid w:val="001900AB"/>
    <w:rsid w:val="00192A40"/>
    <w:rsid w:val="001B0F85"/>
    <w:rsid w:val="001B1C13"/>
    <w:rsid w:val="001B383F"/>
    <w:rsid w:val="001C12EA"/>
    <w:rsid w:val="001D3EA1"/>
    <w:rsid w:val="001E76B6"/>
    <w:rsid w:val="001F4C6A"/>
    <w:rsid w:val="00211CBA"/>
    <w:rsid w:val="00213874"/>
    <w:rsid w:val="00216573"/>
    <w:rsid w:val="00221FA4"/>
    <w:rsid w:val="00222033"/>
    <w:rsid w:val="00257098"/>
    <w:rsid w:val="00263BF3"/>
    <w:rsid w:val="00274012"/>
    <w:rsid w:val="00286B22"/>
    <w:rsid w:val="00295E64"/>
    <w:rsid w:val="002A0945"/>
    <w:rsid w:val="002C4024"/>
    <w:rsid w:val="002C6025"/>
    <w:rsid w:val="002C6459"/>
    <w:rsid w:val="002D1C2E"/>
    <w:rsid w:val="002D5274"/>
    <w:rsid w:val="002F226F"/>
    <w:rsid w:val="00301EFA"/>
    <w:rsid w:val="00305647"/>
    <w:rsid w:val="00307F5A"/>
    <w:rsid w:val="003155FE"/>
    <w:rsid w:val="0032045B"/>
    <w:rsid w:val="00327CC3"/>
    <w:rsid w:val="0035608C"/>
    <w:rsid w:val="003646CB"/>
    <w:rsid w:val="003735BF"/>
    <w:rsid w:val="00381D98"/>
    <w:rsid w:val="0038366E"/>
    <w:rsid w:val="00386330"/>
    <w:rsid w:val="00395631"/>
    <w:rsid w:val="0039594A"/>
    <w:rsid w:val="0039655B"/>
    <w:rsid w:val="003B7128"/>
    <w:rsid w:val="003D0E31"/>
    <w:rsid w:val="00426F5C"/>
    <w:rsid w:val="004362C6"/>
    <w:rsid w:val="004378E8"/>
    <w:rsid w:val="00445EB1"/>
    <w:rsid w:val="00465BBF"/>
    <w:rsid w:val="004719BA"/>
    <w:rsid w:val="00477B75"/>
    <w:rsid w:val="004818C5"/>
    <w:rsid w:val="00481FAC"/>
    <w:rsid w:val="00487965"/>
    <w:rsid w:val="0049495F"/>
    <w:rsid w:val="004A56EF"/>
    <w:rsid w:val="004B77E5"/>
    <w:rsid w:val="004B7DBC"/>
    <w:rsid w:val="004C2A8C"/>
    <w:rsid w:val="004D09A5"/>
    <w:rsid w:val="004D60BD"/>
    <w:rsid w:val="004E6A0C"/>
    <w:rsid w:val="004F5711"/>
    <w:rsid w:val="004F72D5"/>
    <w:rsid w:val="004F76A9"/>
    <w:rsid w:val="00512FA7"/>
    <w:rsid w:val="005176E0"/>
    <w:rsid w:val="00542F3E"/>
    <w:rsid w:val="00545A76"/>
    <w:rsid w:val="00581FEB"/>
    <w:rsid w:val="005926CE"/>
    <w:rsid w:val="005B3EC2"/>
    <w:rsid w:val="005B4C6A"/>
    <w:rsid w:val="005B571C"/>
    <w:rsid w:val="005D625C"/>
    <w:rsid w:val="005E5DDC"/>
    <w:rsid w:val="005E61F9"/>
    <w:rsid w:val="005F13C4"/>
    <w:rsid w:val="00607060"/>
    <w:rsid w:val="00612823"/>
    <w:rsid w:val="006133DB"/>
    <w:rsid w:val="006462B8"/>
    <w:rsid w:val="00646F45"/>
    <w:rsid w:val="006625B9"/>
    <w:rsid w:val="00666B13"/>
    <w:rsid w:val="0067171B"/>
    <w:rsid w:val="006727A6"/>
    <w:rsid w:val="00695311"/>
    <w:rsid w:val="006A3C9C"/>
    <w:rsid w:val="006B4332"/>
    <w:rsid w:val="006B5FC9"/>
    <w:rsid w:val="006B735B"/>
    <w:rsid w:val="006C6B91"/>
    <w:rsid w:val="006E22FF"/>
    <w:rsid w:val="006F5B8C"/>
    <w:rsid w:val="0070683F"/>
    <w:rsid w:val="00711E85"/>
    <w:rsid w:val="0072031B"/>
    <w:rsid w:val="00724BB3"/>
    <w:rsid w:val="0073625A"/>
    <w:rsid w:val="007364BA"/>
    <w:rsid w:val="00743787"/>
    <w:rsid w:val="00745429"/>
    <w:rsid w:val="0075681F"/>
    <w:rsid w:val="00763A4F"/>
    <w:rsid w:val="007849EB"/>
    <w:rsid w:val="00797DD6"/>
    <w:rsid w:val="007C25FD"/>
    <w:rsid w:val="007D2C45"/>
    <w:rsid w:val="007D68FF"/>
    <w:rsid w:val="007E4255"/>
    <w:rsid w:val="0081289A"/>
    <w:rsid w:val="008135B5"/>
    <w:rsid w:val="0082755D"/>
    <w:rsid w:val="008321EF"/>
    <w:rsid w:val="00834E7D"/>
    <w:rsid w:val="00843385"/>
    <w:rsid w:val="008520AF"/>
    <w:rsid w:val="008530AB"/>
    <w:rsid w:val="00885D2C"/>
    <w:rsid w:val="008974B2"/>
    <w:rsid w:val="008A3526"/>
    <w:rsid w:val="008B5731"/>
    <w:rsid w:val="008B7015"/>
    <w:rsid w:val="008C7F62"/>
    <w:rsid w:val="008D0149"/>
    <w:rsid w:val="008F2C58"/>
    <w:rsid w:val="008F7B1A"/>
    <w:rsid w:val="008F7BE8"/>
    <w:rsid w:val="00933AF1"/>
    <w:rsid w:val="00951695"/>
    <w:rsid w:val="0095341A"/>
    <w:rsid w:val="009604A5"/>
    <w:rsid w:val="00960A0B"/>
    <w:rsid w:val="00963F1D"/>
    <w:rsid w:val="009731B2"/>
    <w:rsid w:val="009A22EF"/>
    <w:rsid w:val="009A4C1E"/>
    <w:rsid w:val="009A6791"/>
    <w:rsid w:val="009B22F0"/>
    <w:rsid w:val="009D4582"/>
    <w:rsid w:val="009D51B4"/>
    <w:rsid w:val="009E3305"/>
    <w:rsid w:val="00A04C7A"/>
    <w:rsid w:val="00A12985"/>
    <w:rsid w:val="00A36FE0"/>
    <w:rsid w:val="00A37A53"/>
    <w:rsid w:val="00A4543E"/>
    <w:rsid w:val="00A67A52"/>
    <w:rsid w:val="00A93A6B"/>
    <w:rsid w:val="00A94DE2"/>
    <w:rsid w:val="00AB3B08"/>
    <w:rsid w:val="00AB40EE"/>
    <w:rsid w:val="00AD5F8B"/>
    <w:rsid w:val="00AE27D5"/>
    <w:rsid w:val="00AF352F"/>
    <w:rsid w:val="00AF3799"/>
    <w:rsid w:val="00AF50E3"/>
    <w:rsid w:val="00AF6B29"/>
    <w:rsid w:val="00B03B20"/>
    <w:rsid w:val="00B03B89"/>
    <w:rsid w:val="00B062D2"/>
    <w:rsid w:val="00B22B04"/>
    <w:rsid w:val="00B22DA8"/>
    <w:rsid w:val="00B33C97"/>
    <w:rsid w:val="00B40AC8"/>
    <w:rsid w:val="00B52508"/>
    <w:rsid w:val="00B575E3"/>
    <w:rsid w:val="00B606DC"/>
    <w:rsid w:val="00B6211F"/>
    <w:rsid w:val="00B65EE7"/>
    <w:rsid w:val="00B77A76"/>
    <w:rsid w:val="00B91C31"/>
    <w:rsid w:val="00BB1FAA"/>
    <w:rsid w:val="00BC31BD"/>
    <w:rsid w:val="00BD03B2"/>
    <w:rsid w:val="00BD4B00"/>
    <w:rsid w:val="00BE3C33"/>
    <w:rsid w:val="00BF2477"/>
    <w:rsid w:val="00C010E0"/>
    <w:rsid w:val="00C07974"/>
    <w:rsid w:val="00C1043C"/>
    <w:rsid w:val="00C2748F"/>
    <w:rsid w:val="00C30127"/>
    <w:rsid w:val="00C415A2"/>
    <w:rsid w:val="00C55FCE"/>
    <w:rsid w:val="00C579C1"/>
    <w:rsid w:val="00C57E02"/>
    <w:rsid w:val="00C76DEF"/>
    <w:rsid w:val="00C80DEF"/>
    <w:rsid w:val="00C847C1"/>
    <w:rsid w:val="00C860E8"/>
    <w:rsid w:val="00C90969"/>
    <w:rsid w:val="00CA49E7"/>
    <w:rsid w:val="00CA793F"/>
    <w:rsid w:val="00CC6B59"/>
    <w:rsid w:val="00CF5A91"/>
    <w:rsid w:val="00D06772"/>
    <w:rsid w:val="00D16A04"/>
    <w:rsid w:val="00D210C1"/>
    <w:rsid w:val="00D458C0"/>
    <w:rsid w:val="00D54B50"/>
    <w:rsid w:val="00D556BA"/>
    <w:rsid w:val="00D56306"/>
    <w:rsid w:val="00D74FBF"/>
    <w:rsid w:val="00D81368"/>
    <w:rsid w:val="00D963FD"/>
    <w:rsid w:val="00DA2131"/>
    <w:rsid w:val="00DB0186"/>
    <w:rsid w:val="00DC192D"/>
    <w:rsid w:val="00DE19C0"/>
    <w:rsid w:val="00DF406B"/>
    <w:rsid w:val="00E0080B"/>
    <w:rsid w:val="00E02032"/>
    <w:rsid w:val="00E0261D"/>
    <w:rsid w:val="00E056BB"/>
    <w:rsid w:val="00E11172"/>
    <w:rsid w:val="00E14AD0"/>
    <w:rsid w:val="00E263FD"/>
    <w:rsid w:val="00E45EDF"/>
    <w:rsid w:val="00E500CD"/>
    <w:rsid w:val="00E62869"/>
    <w:rsid w:val="00E632B0"/>
    <w:rsid w:val="00E77272"/>
    <w:rsid w:val="00EA1934"/>
    <w:rsid w:val="00EA2254"/>
    <w:rsid w:val="00EB2507"/>
    <w:rsid w:val="00EB2D9C"/>
    <w:rsid w:val="00EB5137"/>
    <w:rsid w:val="00EC6E6C"/>
    <w:rsid w:val="00ED0C91"/>
    <w:rsid w:val="00ED2523"/>
    <w:rsid w:val="00EE26B1"/>
    <w:rsid w:val="00EE4159"/>
    <w:rsid w:val="00EE60FE"/>
    <w:rsid w:val="00EE78AC"/>
    <w:rsid w:val="00EF4715"/>
    <w:rsid w:val="00EF4E67"/>
    <w:rsid w:val="00F00503"/>
    <w:rsid w:val="00F02695"/>
    <w:rsid w:val="00F067DA"/>
    <w:rsid w:val="00F07533"/>
    <w:rsid w:val="00F2245A"/>
    <w:rsid w:val="00F3273A"/>
    <w:rsid w:val="00F346EC"/>
    <w:rsid w:val="00F368F9"/>
    <w:rsid w:val="00F431F2"/>
    <w:rsid w:val="00F45EE8"/>
    <w:rsid w:val="00F57447"/>
    <w:rsid w:val="00F83AC9"/>
    <w:rsid w:val="00F903E1"/>
    <w:rsid w:val="00F90802"/>
    <w:rsid w:val="00F90EE4"/>
    <w:rsid w:val="00F9621A"/>
    <w:rsid w:val="00FA5C20"/>
    <w:rsid w:val="00FA5F2B"/>
    <w:rsid w:val="00FC2197"/>
    <w:rsid w:val="00FE47B7"/>
    <w:rsid w:val="00FE7CE5"/>
    <w:rsid w:val="00FF3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53C3C"/>
  <w15:chartTrackingRefBased/>
  <w15:docId w15:val="{54A6100E-F324-4045-8AE9-CE2F6C3F8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C91"/>
  </w:style>
  <w:style w:type="paragraph" w:styleId="Ttulo1">
    <w:name w:val="heading 1"/>
    <w:basedOn w:val="Normal"/>
    <w:next w:val="Normal"/>
    <w:link w:val="Ttulo1Car"/>
    <w:uiPriority w:val="9"/>
    <w:qFormat/>
    <w:rsid w:val="00AF35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F35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F35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35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35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35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35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35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35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35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AF35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AF35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F352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352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352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352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352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352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F35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F35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F35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F35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35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352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352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352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35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352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352F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F35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52F"/>
  </w:style>
  <w:style w:type="paragraph" w:styleId="Piedepgina">
    <w:name w:val="footer"/>
    <w:basedOn w:val="Normal"/>
    <w:link w:val="PiedepginaCar"/>
    <w:uiPriority w:val="99"/>
    <w:unhideWhenUsed/>
    <w:rsid w:val="00AF35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52F"/>
  </w:style>
  <w:style w:type="character" w:customStyle="1" w:styleId="contentpasted0">
    <w:name w:val="contentpasted0"/>
    <w:basedOn w:val="Fuentedeprrafopredeter"/>
    <w:rsid w:val="00AF352F"/>
  </w:style>
  <w:style w:type="character" w:styleId="Hipervnculo">
    <w:name w:val="Hyperlink"/>
    <w:basedOn w:val="Fuentedeprrafopredeter"/>
    <w:uiPriority w:val="99"/>
    <w:unhideWhenUsed/>
    <w:rsid w:val="00AF352F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AF3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321E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laura.martinez@iahorro.com" TargetMode="External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4" Type="http://schemas.openxmlformats.org/officeDocument/2006/relationships/hyperlink" Target="mailto:noelia.perez@iahorro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svg"/><Relationship Id="rId2" Type="http://schemas.openxmlformats.org/officeDocument/2006/relationships/image" Target="media/image5.png"/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5</Pages>
  <Words>1633</Words>
  <Characters>8986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Noelia Perez</dc:creator>
  <cp:keywords/>
  <dc:description/>
  <cp:lastModifiedBy>Noelia Perez</cp:lastModifiedBy>
  <cp:revision>74</cp:revision>
  <dcterms:created xsi:type="dcterms:W3CDTF">2026-10-05T11:36:00Z</dcterms:created>
  <dcterms:modified xsi:type="dcterms:W3CDTF">2026-10-06T07:30:00Z</dcterms:modified>
</cp:coreProperties>
</file>