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D3BE1" w14:textId="77777777" w:rsidR="00113AD7" w:rsidRPr="00995345" w:rsidRDefault="00CB2429" w:rsidP="00113AD7">
      <w:pPr>
        <w:jc w:val="center"/>
        <w:rPr>
          <w:rFonts w:ascii="Muli" w:hAnsi="Muli"/>
          <w:b/>
          <w:sz w:val="20"/>
          <w:szCs w:val="20"/>
        </w:rPr>
      </w:pPr>
      <w:bookmarkStart w:id="0" w:name="_Hlk215137328"/>
      <w:r>
        <w:rPr>
          <w:rFonts w:ascii="Muli" w:hAnsi="Muli"/>
          <w:b/>
          <w:sz w:val="20"/>
          <w:szCs w:val="20"/>
        </w:rPr>
        <w:t>El índice supera en más de un punto el dato de septiembre de 2025 tras la segunda subida de tipos del BCE</w:t>
      </w:r>
    </w:p>
    <w:bookmarkEnd w:id="0"/>
    <w:p w14:paraId="086EF50B" w14:textId="22A9C216" w:rsidR="239D0426" w:rsidRDefault="455809C8" w:rsidP="239D0426">
      <w:pPr>
        <w:jc w:val="center"/>
        <w:rPr>
          <w:rFonts w:ascii="Montserrat" w:hAnsi="Montserrat"/>
          <w:b/>
          <w:bCs/>
          <w:color w:val="002060"/>
          <w:sz w:val="32"/>
          <w:szCs w:val="32"/>
        </w:rPr>
      </w:pPr>
      <w:r w:rsidRPr="00840C0A">
        <w:rPr>
          <w:rFonts w:ascii="Montserrat" w:hAnsi="Montserrat"/>
          <w:b/>
          <w:bCs/>
          <w:color w:val="002060"/>
          <w:sz w:val="32"/>
          <w:szCs w:val="32"/>
        </w:rPr>
        <w:t xml:space="preserve">El euríbor cierra septiembre por encima del 3% por primera vez desde agosto de 2024 y encarece hasta </w:t>
      </w:r>
      <w:r w:rsidR="00191C5D">
        <w:rPr>
          <w:rFonts w:ascii="Montserrat" w:hAnsi="Montserrat"/>
          <w:b/>
          <w:bCs/>
          <w:color w:val="002060"/>
          <w:sz w:val="32"/>
          <w:szCs w:val="32"/>
        </w:rPr>
        <w:t>200</w:t>
      </w:r>
      <w:r w:rsidRPr="00840C0A">
        <w:rPr>
          <w:rFonts w:ascii="Montserrat" w:hAnsi="Montserrat"/>
          <w:b/>
          <w:bCs/>
          <w:color w:val="002060"/>
          <w:sz w:val="32"/>
          <w:szCs w:val="32"/>
        </w:rPr>
        <w:t xml:space="preserve"> euros al mes las hipotecas variables</w:t>
      </w:r>
    </w:p>
    <w:p w14:paraId="23BB535B" w14:textId="77777777" w:rsidR="009D6CDC" w:rsidRPr="00840C0A" w:rsidRDefault="009D6CDC" w:rsidP="239D0426">
      <w:pPr>
        <w:jc w:val="center"/>
        <w:rPr>
          <w:color w:val="002060"/>
        </w:rPr>
      </w:pPr>
    </w:p>
    <w:p w14:paraId="25513895" w14:textId="1A7800BE" w:rsidR="00FA0D0E" w:rsidRPr="00FA0D0E" w:rsidRDefault="69977C5F" w:rsidP="00FA0D0E">
      <w:pPr>
        <w:pStyle w:val="Prrafodelista"/>
        <w:numPr>
          <w:ilvl w:val="0"/>
          <w:numId w:val="1"/>
        </w:numPr>
        <w:spacing w:line="256" w:lineRule="auto"/>
        <w:ind w:left="567" w:hanging="207"/>
        <w:rPr>
          <w:rFonts w:ascii="Muli" w:hAnsi="Muli"/>
        </w:rPr>
      </w:pPr>
      <w:r w:rsidRPr="00FA0D0E">
        <w:rPr>
          <w:rFonts w:ascii="Muli" w:hAnsi="Muli"/>
        </w:rPr>
        <w:t>El índice de referencia de las hipotecas variables</w:t>
      </w:r>
      <w:r w:rsidR="00F12031" w:rsidRPr="00FA0D0E">
        <w:rPr>
          <w:rFonts w:ascii="Muli" w:hAnsi="Muli"/>
        </w:rPr>
        <w:t xml:space="preserve"> cierra septiembre en </w:t>
      </w:r>
      <w:r w:rsidR="00305FCC" w:rsidRPr="00FA0D0E">
        <w:rPr>
          <w:rFonts w:ascii="Muli" w:hAnsi="Muli"/>
        </w:rPr>
        <w:t xml:space="preserve">el </w:t>
      </w:r>
      <w:r w:rsidR="00305FCC">
        <w:rPr>
          <w:rFonts w:ascii="Muli" w:hAnsi="Muli"/>
        </w:rPr>
        <w:t>3,247</w:t>
      </w:r>
      <w:r w:rsidRPr="00FA0D0E">
        <w:rPr>
          <w:rFonts w:ascii="Muli" w:hAnsi="Muli"/>
        </w:rPr>
        <w:t>% de media, 0,</w:t>
      </w:r>
      <w:r w:rsidR="0054500A" w:rsidRPr="00FA0D0E">
        <w:rPr>
          <w:rFonts w:ascii="Muli" w:hAnsi="Muli"/>
        </w:rPr>
        <w:t>29</w:t>
      </w:r>
      <w:r w:rsidR="006B05FA" w:rsidRPr="00FA0D0E">
        <w:rPr>
          <w:rFonts w:ascii="Muli" w:hAnsi="Muli"/>
        </w:rPr>
        <w:t>5</w:t>
      </w:r>
      <w:r w:rsidRPr="00FA0D0E">
        <w:rPr>
          <w:rFonts w:ascii="Muli" w:hAnsi="Muli"/>
        </w:rPr>
        <w:t xml:space="preserve"> puntos por encima de agosto (2,952%). Desde el 14 de septiembre todos los datos diarios han superado el 3,3%, con un máximo del 3,379% el día 25.</w:t>
      </w:r>
    </w:p>
    <w:p w14:paraId="26DF9F44" w14:textId="13DD4BE3" w:rsidR="005F704B" w:rsidRPr="00FA0D0E" w:rsidRDefault="00FA0D0E" w:rsidP="00FA0D0E">
      <w:pPr>
        <w:pStyle w:val="Prrafodelista"/>
        <w:numPr>
          <w:ilvl w:val="0"/>
          <w:numId w:val="1"/>
        </w:numPr>
        <w:spacing w:line="256" w:lineRule="auto"/>
        <w:ind w:left="567" w:hanging="207"/>
        <w:rPr>
          <w:rFonts w:ascii="Muli" w:hAnsi="Muli"/>
        </w:rPr>
      </w:pPr>
      <w:r w:rsidRPr="00FA0D0E">
        <w:rPr>
          <w:rFonts w:ascii="Muli" w:hAnsi="Muli"/>
        </w:rPr>
        <w:t>E</w:t>
      </w:r>
      <w:r w:rsidR="009D6CDC" w:rsidRPr="00FA0D0E">
        <w:rPr>
          <w:rFonts w:ascii="Muli" w:hAnsi="Muli"/>
        </w:rPr>
        <w:t>l indicador registra un incremento de 1,0</w:t>
      </w:r>
      <w:r w:rsidR="0054500A" w:rsidRPr="00FA0D0E">
        <w:rPr>
          <w:rFonts w:ascii="Muli" w:hAnsi="Muli"/>
        </w:rPr>
        <w:t>71</w:t>
      </w:r>
      <w:r w:rsidR="009D6CDC" w:rsidRPr="00FA0D0E">
        <w:rPr>
          <w:rFonts w:ascii="Muli" w:hAnsi="Muli"/>
        </w:rPr>
        <w:t xml:space="preserve"> puntos porcentuales respecto a septiembre de 2025 (2,17</w:t>
      </w:r>
      <w:r w:rsidRPr="00FA0D0E">
        <w:rPr>
          <w:rFonts w:ascii="Muli" w:hAnsi="Muli"/>
        </w:rPr>
        <w:t>5</w:t>
      </w:r>
      <w:r w:rsidR="009D6CDC" w:rsidRPr="00FA0D0E">
        <w:rPr>
          <w:rFonts w:ascii="Muli" w:hAnsi="Muli"/>
        </w:rPr>
        <w:t>%): quienes revisen este mes su hipoteca pagarán unos 11</w:t>
      </w:r>
      <w:r w:rsidR="00191C5D">
        <w:rPr>
          <w:rFonts w:ascii="Muli" w:hAnsi="Muli"/>
        </w:rPr>
        <w:t>5</w:t>
      </w:r>
      <w:r w:rsidR="009D6CDC" w:rsidRPr="00FA0D0E">
        <w:rPr>
          <w:rFonts w:ascii="Muli" w:hAnsi="Muli"/>
        </w:rPr>
        <w:t xml:space="preserve"> euros más al mes por un préstamo de 200.000 euros y </w:t>
      </w:r>
      <w:r w:rsidR="00191C5D">
        <w:rPr>
          <w:rFonts w:ascii="Muli" w:hAnsi="Muli"/>
        </w:rPr>
        <w:t>201</w:t>
      </w:r>
      <w:r w:rsidR="009D6CDC" w:rsidRPr="00FA0D0E">
        <w:rPr>
          <w:rFonts w:ascii="Muli" w:hAnsi="Muli"/>
        </w:rPr>
        <w:t xml:space="preserve"> euros más por uno de 350.000 euros.</w:t>
      </w:r>
    </w:p>
    <w:p w14:paraId="6BEDC4B3" w14:textId="77777777" w:rsidR="009D6CDC" w:rsidRPr="00FA0D0E" w:rsidRDefault="009D6CDC" w:rsidP="009D6CDC">
      <w:pPr>
        <w:pStyle w:val="Prrafodelista"/>
        <w:numPr>
          <w:ilvl w:val="0"/>
          <w:numId w:val="1"/>
        </w:numPr>
        <w:spacing w:line="256" w:lineRule="auto"/>
        <w:ind w:left="567" w:hanging="207"/>
        <w:rPr>
          <w:rFonts w:ascii="Muli" w:hAnsi="Muli"/>
        </w:rPr>
      </w:pPr>
      <w:r w:rsidRPr="00FA0D0E">
        <w:rPr>
          <w:rFonts w:ascii="Muli" w:hAnsi="Muli"/>
        </w:rPr>
        <w:t>“El euríbor ha pasado de anticipar las subidas del BCE a confirmarlas, y eso ya se nota directamente en el bolsillo de los hipotecados”, destaca la portavoz de iAhorro.</w:t>
      </w:r>
    </w:p>
    <w:p w14:paraId="1B9FEE6E" w14:textId="77777777" w:rsidR="00113AD7" w:rsidRDefault="00113AD7" w:rsidP="00113AD7">
      <w:pPr>
        <w:pStyle w:val="Prrafodelista"/>
        <w:spacing w:line="256" w:lineRule="auto"/>
        <w:ind w:left="567"/>
        <w:rPr>
          <w:rFonts w:ascii="Muli" w:hAnsi="Muli"/>
        </w:rPr>
      </w:pPr>
    </w:p>
    <w:p w14:paraId="618ABEE9" w14:textId="04EDC0B8" w:rsidR="00113AD7" w:rsidRPr="002301DA" w:rsidRDefault="00113AD7" w:rsidP="00113AD7">
      <w:pPr>
        <w:spacing w:line="256" w:lineRule="auto"/>
        <w:rPr>
          <w:rFonts w:ascii="Muli" w:hAnsi="Muli"/>
        </w:rPr>
      </w:pPr>
      <w:r w:rsidRPr="002301DA">
        <w:rPr>
          <w:rFonts w:ascii="Muli" w:hAnsi="Muli"/>
        </w:rPr>
        <w:t xml:space="preserve">Madrid, </w:t>
      </w:r>
      <w:r w:rsidR="00F12031">
        <w:rPr>
          <w:rFonts w:ascii="Muli" w:hAnsi="Muli"/>
        </w:rPr>
        <w:t>30</w:t>
      </w:r>
      <w:r w:rsidRPr="002301DA">
        <w:rPr>
          <w:rFonts w:ascii="Muli" w:hAnsi="Muli"/>
        </w:rPr>
        <w:t xml:space="preserve"> de septiembre de 2026</w:t>
      </w:r>
    </w:p>
    <w:p w14:paraId="72CE2E29" w14:textId="304B1139" w:rsidR="003F0FA6" w:rsidRDefault="005F704B" w:rsidP="002D4EE9">
      <w:pPr>
        <w:rPr>
          <w:rFonts w:ascii="Muli" w:hAnsi="Muli"/>
          <w:color w:val="000000" w:themeColor="text1"/>
        </w:rPr>
      </w:pPr>
      <w:r>
        <w:rPr>
          <w:rFonts w:ascii="Muli" w:hAnsi="Muli"/>
          <w:color w:val="000000" w:themeColor="text1"/>
        </w:rPr>
        <w:t>El euríbor, el índice de referencia con el que se calcula el tipo de interés (TIN) de las hipotecas variables, cerrará septiembre por encima del 3% de media mensual por primera vez en más de dos años.</w:t>
      </w:r>
      <w:r w:rsidR="00F12031">
        <w:rPr>
          <w:rFonts w:ascii="Muli" w:hAnsi="Muli"/>
          <w:color w:val="000000" w:themeColor="text1"/>
        </w:rPr>
        <w:t xml:space="preserve"> El indicador cierra </w:t>
      </w:r>
      <w:r w:rsidR="00F12031" w:rsidRPr="004F58E5">
        <w:rPr>
          <w:rFonts w:ascii="Muli" w:hAnsi="Muli"/>
          <w:color w:val="000000" w:themeColor="text1"/>
        </w:rPr>
        <w:t xml:space="preserve">septiembre en el </w:t>
      </w:r>
      <w:r w:rsidRPr="004F58E5">
        <w:rPr>
          <w:rFonts w:ascii="Muli" w:hAnsi="Muli"/>
          <w:color w:val="000000" w:themeColor="text1"/>
        </w:rPr>
        <w:t>3,2</w:t>
      </w:r>
      <w:r w:rsidR="0054500A" w:rsidRPr="004F58E5">
        <w:rPr>
          <w:rFonts w:ascii="Muli" w:hAnsi="Muli"/>
          <w:color w:val="000000" w:themeColor="text1"/>
        </w:rPr>
        <w:t>4</w:t>
      </w:r>
      <w:r w:rsidR="000D28D1" w:rsidRPr="004F58E5">
        <w:rPr>
          <w:rFonts w:ascii="Muli" w:hAnsi="Muli"/>
          <w:color w:val="000000" w:themeColor="text1"/>
        </w:rPr>
        <w:t>7</w:t>
      </w:r>
      <w:r w:rsidRPr="004F58E5">
        <w:rPr>
          <w:rFonts w:ascii="Muli" w:hAnsi="Muli"/>
          <w:color w:val="000000" w:themeColor="text1"/>
        </w:rPr>
        <w:t>%, frente al 2,952% de agosto, lo que supone un aumento de 0,2</w:t>
      </w:r>
      <w:r w:rsidR="0054500A" w:rsidRPr="004F58E5">
        <w:rPr>
          <w:rFonts w:ascii="Muli" w:hAnsi="Muli"/>
          <w:color w:val="000000" w:themeColor="text1"/>
        </w:rPr>
        <w:t>9</w:t>
      </w:r>
      <w:r w:rsidR="004F58E5" w:rsidRPr="004F58E5">
        <w:rPr>
          <w:rFonts w:ascii="Muli" w:hAnsi="Muli"/>
          <w:color w:val="000000" w:themeColor="text1"/>
        </w:rPr>
        <w:t>5</w:t>
      </w:r>
      <w:r w:rsidRPr="004F58E5">
        <w:rPr>
          <w:rFonts w:ascii="Muli" w:hAnsi="Muli"/>
          <w:color w:val="000000" w:themeColor="text1"/>
        </w:rPr>
        <w:t xml:space="preserve"> puntos porcentuales en solo un mes. Es el tercer mes consecutivo de subidas y la media más</w:t>
      </w:r>
      <w:r>
        <w:rPr>
          <w:rFonts w:ascii="Muli" w:hAnsi="Muli"/>
          <w:color w:val="000000" w:themeColor="text1"/>
        </w:rPr>
        <w:t xml:space="preserve"> alta desde julio de 2024, cuando el índice se encontraba en el 3,526%.</w:t>
      </w:r>
    </w:p>
    <w:p w14:paraId="148753EA" w14:textId="19DEA9B5" w:rsidR="00A72552" w:rsidRPr="00602DFE" w:rsidRDefault="00C30E0C" w:rsidP="00A72552">
      <w:pPr>
        <w:rPr>
          <w:b/>
          <w:lang w:val="en-US"/>
        </w:rPr>
      </w:pPr>
      <w:r>
        <w:rPr>
          <w:noProof/>
        </w:rPr>
        <w:lastRenderedPageBreak/>
        <w:drawing>
          <wp:inline distT="0" distB="0" distL="0" distR="0" wp14:anchorId="16E24347" wp14:editId="241DB40E">
            <wp:extent cx="5400040" cy="3038475"/>
            <wp:effectExtent l="0" t="0" r="0" b="9525"/>
            <wp:docPr id="11105757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noFill/>
                    <a:ln>
                      <a:noFill/>
                    </a:ln>
                  </pic:spPr>
                </pic:pic>
              </a:graphicData>
            </a:graphic>
          </wp:inline>
        </w:drawing>
      </w:r>
    </w:p>
    <w:p w14:paraId="3EB37898" w14:textId="77777777" w:rsidR="005F704B" w:rsidRDefault="005F704B" w:rsidP="00CF0A63">
      <w:pPr>
        <w:rPr>
          <w:rFonts w:ascii="Muli" w:hAnsi="Muli"/>
          <w:color w:val="000000" w:themeColor="text1"/>
        </w:rPr>
      </w:pPr>
      <w:r>
        <w:rPr>
          <w:rFonts w:ascii="Muli" w:hAnsi="Muli"/>
          <w:color w:val="000000" w:themeColor="text1"/>
        </w:rPr>
        <w:t>La evolución diaria explica el salto. El mes arrancó en el 3,029% y se mantuvo en la franja del 3,1% durante la primera quincena, hasta que el 14 de septiembre, pocos días después de la reunión del Banco Central Europeo (BCE), el índice subió más de 15 centésimas en una sola jornada, hasta el 3,312%. Desde entonces no ha vuelto a bajar del 3,3% y el 25 de septiembre marcó el 3,379%, su nivel diario más elevado en más de dos años.</w:t>
      </w:r>
    </w:p>
    <w:p w14:paraId="062639E3" w14:textId="03F2CEF3" w:rsidR="008B5458" w:rsidRPr="009D6CDC" w:rsidRDefault="5E21CB12" w:rsidP="00CF0A63">
      <w:pPr>
        <w:rPr>
          <w:rFonts w:ascii="Muli" w:hAnsi="Muli"/>
          <w:color w:val="000000" w:themeColor="text1"/>
        </w:rPr>
      </w:pPr>
      <w:r w:rsidRPr="61FC88CE">
        <w:rPr>
          <w:rFonts w:ascii="Muli" w:hAnsi="Muli"/>
          <w:color w:val="000000" w:themeColor="text1"/>
        </w:rPr>
        <w:t>El 10 de septiembre, el BCE decidió subir los tipos de interés oficiales 25 puntos básicos, la segunda subida del año tras la de junio, lo que sitúa la facilidad de depósito en el 2,50% desde el 1</w:t>
      </w:r>
      <w:r w:rsidR="00E14388">
        <w:rPr>
          <w:rFonts w:ascii="Muli" w:hAnsi="Muli"/>
          <w:color w:val="000000" w:themeColor="text1"/>
        </w:rPr>
        <w:t>0</w:t>
      </w:r>
      <w:r w:rsidRPr="61FC88CE">
        <w:rPr>
          <w:rFonts w:ascii="Muli" w:hAnsi="Muli"/>
          <w:color w:val="000000" w:themeColor="text1"/>
        </w:rPr>
        <w:t xml:space="preserve"> de septiembre. El organismo justificó la decisión por el repunte de la inflación derivado del encarecimiento de la energía y el conflicto en Oriente Próximo. Laura Martínez, portavoz de iAhorro, señala que “durante el verano el euríbor fue descontando lo que iba a hacer el BCE y, una vez confirmada la subida, el mercado ya mira a los próximos meses. Por eso el índice se ha instalado por encima del 3,3% en la segunda mitad del mes”.</w:t>
      </w:r>
    </w:p>
    <w:p w14:paraId="038764B4" w14:textId="77777777" w:rsidR="00F74EBC" w:rsidRDefault="00F74EBC" w:rsidP="00CF0A63">
      <w:pPr>
        <w:rPr>
          <w:rFonts w:ascii="Muli" w:hAnsi="Muli"/>
          <w:color w:val="000000" w:themeColor="text1"/>
        </w:rPr>
      </w:pPr>
    </w:p>
    <w:p w14:paraId="7C2EF972" w14:textId="77777777" w:rsidR="008A2061" w:rsidRPr="000E1DB0" w:rsidRDefault="008A2061" w:rsidP="008A2061">
      <w:pPr>
        <w:rPr>
          <w:rFonts w:ascii="Montserrat" w:hAnsi="Montserrat"/>
          <w:b/>
          <w:bCs/>
          <w:color w:val="002060"/>
          <w:bdr w:val="none" w:sz="0" w:space="0" w:color="auto" w:frame="1"/>
          <w:shd w:val="clear" w:color="auto" w:fill="FFFFFF"/>
        </w:rPr>
      </w:pPr>
      <w:r>
        <w:rPr>
          <w:rFonts w:ascii="Montserrat" w:hAnsi="Montserrat"/>
          <w:b/>
          <w:bCs/>
          <w:color w:val="243962"/>
          <w:bdr w:val="none" w:sz="0" w:space="0" w:color="auto" w:frame="1"/>
          <w:shd w:val="clear" w:color="auto" w:fill="FFFFFF"/>
        </w:rPr>
        <w:t>Las hipotecas suben en septiembre hasta 192 euros al mes</w:t>
      </w:r>
    </w:p>
    <w:p w14:paraId="31248320" w14:textId="1FA1EE8F" w:rsidR="005F704B" w:rsidRDefault="005F704B" w:rsidP="00CF0A63">
      <w:pPr>
        <w:rPr>
          <w:rFonts w:ascii="Muli" w:hAnsi="Muli"/>
          <w:color w:val="000000" w:themeColor="text1"/>
        </w:rPr>
      </w:pPr>
      <w:r w:rsidRPr="004F58E5">
        <w:rPr>
          <w:rFonts w:ascii="Muli" w:hAnsi="Muli"/>
          <w:color w:val="000000" w:themeColor="text1"/>
        </w:rPr>
        <w:t>La subida de 1,0</w:t>
      </w:r>
      <w:r w:rsidR="0054500A" w:rsidRPr="004F58E5">
        <w:rPr>
          <w:rFonts w:ascii="Muli" w:hAnsi="Muli"/>
          <w:color w:val="000000" w:themeColor="text1"/>
        </w:rPr>
        <w:t>7</w:t>
      </w:r>
      <w:r w:rsidR="004F58E5" w:rsidRPr="004F58E5">
        <w:rPr>
          <w:rFonts w:ascii="Muli" w:hAnsi="Muli"/>
          <w:color w:val="000000" w:themeColor="text1"/>
        </w:rPr>
        <w:t>5</w:t>
      </w:r>
      <w:r w:rsidRPr="004F58E5">
        <w:rPr>
          <w:rFonts w:ascii="Muli" w:hAnsi="Muli"/>
          <w:color w:val="000000" w:themeColor="text1"/>
        </w:rPr>
        <w:t xml:space="preserve"> puntos respecto al mismo mes de 2025 tendrá</w:t>
      </w:r>
      <w:r>
        <w:rPr>
          <w:rFonts w:ascii="Muli" w:hAnsi="Muli"/>
          <w:color w:val="000000" w:themeColor="text1"/>
        </w:rPr>
        <w:t xml:space="preserve"> un impacto directo en la cuota de quienes tengan que revisar su hipoteca variable con el dato de septiembre. Hace justo un año, el euríbor se situaba en el 2,172% y el debate era si </w:t>
      </w:r>
      <w:proofErr w:type="gramStart"/>
      <w:r>
        <w:rPr>
          <w:rFonts w:ascii="Muli" w:hAnsi="Muli"/>
          <w:color w:val="000000" w:themeColor="text1"/>
        </w:rPr>
        <w:t>volvería</w:t>
      </w:r>
      <w:proofErr w:type="gramEnd"/>
      <w:r>
        <w:rPr>
          <w:rFonts w:ascii="Muli" w:hAnsi="Muli"/>
          <w:color w:val="000000" w:themeColor="text1"/>
        </w:rPr>
        <w:t xml:space="preserve"> a bajar del 2%. </w:t>
      </w:r>
    </w:p>
    <w:p w14:paraId="60C72E13" w14:textId="77777777" w:rsidR="005F704B" w:rsidRDefault="005F704B" w:rsidP="00CF0A63">
      <w:pPr>
        <w:rPr>
          <w:rFonts w:ascii="Muli" w:hAnsi="Muli"/>
          <w:color w:val="000000" w:themeColor="text1"/>
        </w:rPr>
      </w:pPr>
    </w:p>
    <w:p w14:paraId="18C2D85C" w14:textId="650FEA3F" w:rsidR="00EB7227" w:rsidRPr="00EB7227" w:rsidRDefault="00EB7227" w:rsidP="00EB7227">
      <w:pPr>
        <w:rPr>
          <w:rFonts w:ascii="Muli" w:hAnsi="Muli"/>
          <w:color w:val="000000" w:themeColor="text1"/>
        </w:rPr>
      </w:pPr>
      <w:r w:rsidRPr="00EB7227">
        <w:rPr>
          <w:rFonts w:ascii="Muli" w:hAnsi="Muli"/>
          <w:noProof/>
          <w:color w:val="000000" w:themeColor="text1"/>
        </w:rPr>
        <w:lastRenderedPageBreak/>
        <w:drawing>
          <wp:inline distT="0" distB="0" distL="0" distR="0" wp14:anchorId="3C6F66AD" wp14:editId="74BFA84B">
            <wp:extent cx="5400040" cy="2120900"/>
            <wp:effectExtent l="0" t="0" r="0" b="0"/>
            <wp:docPr id="160963968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40" cy="2120900"/>
                    </a:xfrm>
                    <a:prstGeom prst="rect">
                      <a:avLst/>
                    </a:prstGeom>
                    <a:noFill/>
                    <a:ln>
                      <a:noFill/>
                    </a:ln>
                  </pic:spPr>
                </pic:pic>
              </a:graphicData>
            </a:graphic>
          </wp:inline>
        </w:drawing>
      </w:r>
    </w:p>
    <w:p w14:paraId="543F8BBB" w14:textId="09E8F899" w:rsidR="00EE7D3B" w:rsidRPr="00EE7D3B" w:rsidRDefault="00EE7D3B" w:rsidP="00EE7D3B">
      <w:pPr>
        <w:rPr>
          <w:rFonts w:ascii="Muli" w:hAnsi="Muli"/>
          <w:color w:val="000000" w:themeColor="text1"/>
        </w:rPr>
      </w:pPr>
    </w:p>
    <w:p w14:paraId="24E0764D" w14:textId="77777777" w:rsidR="005F704B" w:rsidRDefault="005F704B" w:rsidP="00CF0A63">
      <w:pPr>
        <w:rPr>
          <w:rFonts w:ascii="Muli" w:hAnsi="Muli"/>
          <w:color w:val="000000" w:themeColor="text1"/>
        </w:rPr>
      </w:pPr>
    </w:p>
    <w:p w14:paraId="52273AFE" w14:textId="7CB978C4" w:rsidR="005F704B" w:rsidRPr="00CB6D51" w:rsidRDefault="005F704B" w:rsidP="00CF0A63">
      <w:pPr>
        <w:rPr>
          <w:rFonts w:ascii="Muli" w:hAnsi="Muli"/>
        </w:rPr>
      </w:pPr>
      <w:r w:rsidRPr="00CB6D51">
        <w:rPr>
          <w:rFonts w:ascii="Muli" w:hAnsi="Muli"/>
        </w:rPr>
        <w:t>Para visualizar las consecuencias de esta subida en el bolsillo de las familias, tomamos como referencia dos supuestos de hipotecas variables a 30 años, con revisión anual y un diferencial de euríbor + 0,60%. En el caso de una hipoteca de 350.000 euros, la cuota pasaría de 1.432,93 euros mensuales en septiembre de 2025 a 1.6</w:t>
      </w:r>
      <w:r w:rsidR="00191C5D">
        <w:rPr>
          <w:rFonts w:ascii="Muli" w:hAnsi="Muli"/>
        </w:rPr>
        <w:t>34,22</w:t>
      </w:r>
      <w:r w:rsidRPr="00CB6D51">
        <w:rPr>
          <w:rFonts w:ascii="Muli" w:hAnsi="Muli"/>
        </w:rPr>
        <w:t xml:space="preserve"> euros en septiembre de 2026. Esto supone un incremento de </w:t>
      </w:r>
      <w:r w:rsidR="00191C5D">
        <w:rPr>
          <w:rFonts w:ascii="Muli" w:hAnsi="Muli"/>
        </w:rPr>
        <w:t>201,29</w:t>
      </w:r>
      <w:r w:rsidRPr="00CB6D51">
        <w:rPr>
          <w:rFonts w:ascii="Muli" w:hAnsi="Muli"/>
        </w:rPr>
        <w:t xml:space="preserve"> euros al mes o alrededor de 2.</w:t>
      </w:r>
      <w:r w:rsidR="008834BD">
        <w:rPr>
          <w:rFonts w:ascii="Muli" w:hAnsi="Muli"/>
        </w:rPr>
        <w:t>415</w:t>
      </w:r>
      <w:r w:rsidRPr="00CB6D51">
        <w:rPr>
          <w:rFonts w:ascii="Muli" w:hAnsi="Muli"/>
        </w:rPr>
        <w:t xml:space="preserve"> euros más al año. Mientras que, para una hipoteca de 200.000 euros, la cuota pasaría de 818,81 euros a 9</w:t>
      </w:r>
      <w:r w:rsidR="008834BD">
        <w:rPr>
          <w:rFonts w:ascii="Muli" w:hAnsi="Muli"/>
        </w:rPr>
        <w:t>33,84</w:t>
      </w:r>
      <w:r w:rsidRPr="00CB6D51">
        <w:rPr>
          <w:rFonts w:ascii="Muli" w:hAnsi="Muli"/>
        </w:rPr>
        <w:t xml:space="preserve"> euros mensuales tras la revisión. En este caso, el incremento sería de 1</w:t>
      </w:r>
      <w:r w:rsidR="008834BD">
        <w:rPr>
          <w:rFonts w:ascii="Muli" w:hAnsi="Muli"/>
        </w:rPr>
        <w:t>15,02</w:t>
      </w:r>
      <w:r w:rsidRPr="00CB6D51">
        <w:rPr>
          <w:rFonts w:ascii="Muli" w:hAnsi="Muli"/>
        </w:rPr>
        <w:t xml:space="preserve"> euros al mes, lo que equivale a unos 1.3</w:t>
      </w:r>
      <w:r w:rsidR="00077958">
        <w:rPr>
          <w:rFonts w:ascii="Muli" w:hAnsi="Muli"/>
        </w:rPr>
        <w:t>80,24</w:t>
      </w:r>
      <w:r w:rsidRPr="00CB6D51">
        <w:rPr>
          <w:rFonts w:ascii="Muli" w:hAnsi="Muli"/>
        </w:rPr>
        <w:t xml:space="preserve"> euros adicionales al año.</w:t>
      </w:r>
    </w:p>
    <w:p w14:paraId="460F0601" w14:textId="77777777" w:rsidR="005F704B" w:rsidRDefault="005F704B" w:rsidP="00CF0A63">
      <w:pPr>
        <w:rPr>
          <w:rFonts w:ascii="Muli" w:hAnsi="Muli"/>
          <w:color w:val="000000" w:themeColor="text1"/>
        </w:rPr>
      </w:pPr>
      <w:r>
        <w:rPr>
          <w:rFonts w:ascii="Muli" w:hAnsi="Muli"/>
          <w:color w:val="000000" w:themeColor="text1"/>
        </w:rPr>
        <w:t>El impacto es notablemente mayor que el de los meses anteriores. En agosto, para estos mismos supuestos, la revisión anual suponía un incremento aproximado de 88 euros al mes para una hipoteca de 200.000 euros y de 155 euros para una de 350.000 euros. En julio, las subidas eran de unos 82 y 143 euros, respectivamente.</w:t>
      </w:r>
    </w:p>
    <w:p w14:paraId="6EAB8235" w14:textId="77777777" w:rsidR="310D3841" w:rsidRDefault="005F704B" w:rsidP="310D3841">
      <w:pPr>
        <w:rPr>
          <w:rFonts w:ascii="Montserrat" w:hAnsi="Montserrat"/>
          <w:b/>
          <w:color w:val="243962"/>
        </w:rPr>
      </w:pPr>
      <w:r>
        <w:rPr>
          <w:rFonts w:ascii="Montserrat" w:hAnsi="Montserrat"/>
          <w:b/>
          <w:bCs/>
          <w:color w:val="243962"/>
        </w:rPr>
        <w:t>Todas las miradas, en la reunión del BCE de octubre</w:t>
      </w:r>
    </w:p>
    <w:p w14:paraId="44AF2AEF" w14:textId="77777777" w:rsidR="005F704B" w:rsidRDefault="005F704B" w:rsidP="00113AD7">
      <w:pPr>
        <w:rPr>
          <w:rFonts w:ascii="Muli" w:hAnsi="Muli"/>
          <w:color w:val="000000" w:themeColor="text1"/>
        </w:rPr>
      </w:pPr>
      <w:r>
        <w:rPr>
          <w:rFonts w:ascii="Muli" w:hAnsi="Muli"/>
          <w:color w:val="000000" w:themeColor="text1"/>
        </w:rPr>
        <w:t>La próxima cita del BCE será el 29 de octubre. Tras la reunión de septiembre, su presidenta, Christine Lagarde, evitó anticipar nuevos movimientos, aunque advirtió de que la inflación se mantendrá muy por encima del objetivo durante un periodo prolongado. “Con un euríbor por encima del 3%, cualquier revisión supone ya un esfuerzo adicional importante para las familias, así que es el momento de revisar las condiciones del préstamo y valorar si una subrogación o un cambio a tipo fijo o mixto puede compensar”, recomienda Laura Martínez.</w:t>
      </w:r>
    </w:p>
    <w:p w14:paraId="30EC71E0" w14:textId="711C051F" w:rsidR="00276134" w:rsidRDefault="00C30E0C" w:rsidP="00113AD7">
      <w:pPr>
        <w:rPr>
          <w:rFonts w:ascii="Muli" w:hAnsi="Muli"/>
          <w:color w:val="000000" w:themeColor="text1"/>
        </w:rPr>
      </w:pPr>
      <w:r>
        <w:rPr>
          <w:noProof/>
        </w:rPr>
        <w:lastRenderedPageBreak/>
        <w:drawing>
          <wp:inline distT="0" distB="0" distL="0" distR="0" wp14:anchorId="76F43A40" wp14:editId="681E7C12">
            <wp:extent cx="5400040" cy="3038475"/>
            <wp:effectExtent l="0" t="0" r="0" b="9525"/>
            <wp:docPr id="172651795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3038475"/>
                    </a:xfrm>
                    <a:prstGeom prst="rect">
                      <a:avLst/>
                    </a:prstGeom>
                    <a:noFill/>
                    <a:ln>
                      <a:noFill/>
                    </a:ln>
                  </pic:spPr>
                </pic:pic>
              </a:graphicData>
            </a:graphic>
          </wp:inline>
        </w:drawing>
      </w:r>
    </w:p>
    <w:p w14:paraId="0F0EDA16" w14:textId="29972265" w:rsidR="005F704B" w:rsidRDefault="005F704B" w:rsidP="005F704B">
      <w:pPr>
        <w:rPr>
          <w:rFonts w:ascii="Muli" w:hAnsi="Muli"/>
          <w:color w:val="000000" w:themeColor="text1"/>
        </w:rPr>
      </w:pPr>
      <w:r>
        <w:rPr>
          <w:rFonts w:ascii="Muli" w:hAnsi="Muli"/>
          <w:color w:val="000000" w:themeColor="text1"/>
        </w:rPr>
        <w:t>Con todo, el último trimestre del año suele ser uno de los de mayor actividad comercial, ya que las entidades buscan cumplir sus objetivos antes del cierre del ejercicio. “Los bancos quieren terminar el año con buenos volúmenes de hipotecas, por lo que los perfiles solventes siguen teniendo margen para negociar, aunque las condiciones ya no son las de la primavera”, concluye la portavoz de iAhorro.</w:t>
      </w:r>
    </w:p>
    <w:p w14:paraId="443F1AA3" w14:textId="17C2BE2E" w:rsidR="00DD2319" w:rsidRDefault="00DD2319" w:rsidP="005F704B">
      <w:pPr>
        <w:rPr>
          <w:rFonts w:ascii="Muli" w:hAnsi="Muli"/>
          <w:color w:val="000000" w:themeColor="text1"/>
        </w:rPr>
      </w:pPr>
      <w:r>
        <w:rPr>
          <w:rFonts w:ascii="Montserrat" w:hAnsi="Montserrat"/>
          <w:b/>
          <w:bCs/>
          <w:color w:val="243962"/>
        </w:rPr>
        <w:t>Los bancos se resisten a subir sus hipotecas</w:t>
      </w:r>
    </w:p>
    <w:p w14:paraId="367ABFA6" w14:textId="2EDCAC2C" w:rsidR="00DD2319" w:rsidRDefault="00DD2319" w:rsidP="00DD2319">
      <w:pPr>
        <w:rPr>
          <w:rFonts w:ascii="Muli" w:hAnsi="Muli"/>
          <w:color w:val="000000" w:themeColor="text1"/>
        </w:rPr>
      </w:pPr>
      <w:r w:rsidRPr="00DD2319">
        <w:rPr>
          <w:rFonts w:ascii="Muli" w:hAnsi="Muli"/>
          <w:color w:val="000000" w:themeColor="text1"/>
        </w:rPr>
        <w:t xml:space="preserve">Las hipotecas a tipo fijo cierran septiembre en un escenario de precios más altos que hace un año, aunque el grueso del encarecimiento no se ha producido este mes, sino en la primavera. Entre abril y junio, con el conflicto en Oriente Próximo presionando la energía y las expectativas de inflación, buena parte de la banca se adelantó a un entorno de tipos más altos y fue </w:t>
      </w:r>
      <w:r w:rsidR="0066677B" w:rsidRPr="00DD2319">
        <w:rPr>
          <w:rFonts w:ascii="Muli" w:hAnsi="Muli"/>
          <w:color w:val="000000" w:themeColor="text1"/>
        </w:rPr>
        <w:t>revisado</w:t>
      </w:r>
      <w:r w:rsidRPr="00DD2319">
        <w:rPr>
          <w:rFonts w:ascii="Muli" w:hAnsi="Muli"/>
          <w:color w:val="000000" w:themeColor="text1"/>
        </w:rPr>
        <w:t xml:space="preserve"> al alza sus ofertas en varias rondas sucesivas, con incrementos de entre una y tres décimas por ajuste. Algunas entidades llegaron a modificar sus condiciones tres meses seguidos. </w:t>
      </w:r>
    </w:p>
    <w:p w14:paraId="1E171428" w14:textId="1F3060D6" w:rsidR="00DD2319" w:rsidRPr="00DD2319" w:rsidRDefault="00DD2319" w:rsidP="00DD2319">
      <w:pPr>
        <w:rPr>
          <w:rFonts w:ascii="Muli" w:hAnsi="Muli"/>
          <w:color w:val="000000" w:themeColor="text1"/>
        </w:rPr>
      </w:pPr>
      <w:r w:rsidRPr="00DD2319">
        <w:rPr>
          <w:rFonts w:ascii="Muli" w:hAnsi="Muli"/>
          <w:color w:val="000000" w:themeColor="text1"/>
        </w:rPr>
        <w:t xml:space="preserve">Septiembre, en cambio, ha sido un mes de contención. </w:t>
      </w:r>
      <w:r w:rsidR="0066677B">
        <w:rPr>
          <w:rFonts w:ascii="Muli" w:hAnsi="Muli"/>
          <w:color w:val="000000" w:themeColor="text1"/>
        </w:rPr>
        <w:t>De momento, l</w:t>
      </w:r>
      <w:r w:rsidRPr="00DD2319">
        <w:rPr>
          <w:rFonts w:ascii="Muli" w:hAnsi="Muli"/>
          <w:color w:val="000000" w:themeColor="text1"/>
        </w:rPr>
        <w:t xml:space="preserve">a mayoría de las entidades ha optado por mantener sus precios, en parte porque ya habían descontado este movimiento en los meses anteriores, y solo se han registrado ajustes al alza puntuales. Hoy los tipos fijos bonificados se mueven, en general, en una horquilla de entre el 2,5% y el 3% TIN, y las TAE se sitúan mayoritariamente entre el 3,4% y el 3,9%. En los productos con mayor vinculación, la TAE puede superar el 5% por el coste de los seguros y productos asociados. </w:t>
      </w:r>
    </w:p>
    <w:p w14:paraId="766CF5A1" w14:textId="79678FD8" w:rsidR="00DD2319" w:rsidRPr="00DD2319" w:rsidRDefault="00DD2319" w:rsidP="00DD2319">
      <w:pPr>
        <w:rPr>
          <w:rFonts w:ascii="Muli" w:hAnsi="Muli"/>
          <w:color w:val="000000" w:themeColor="text1"/>
        </w:rPr>
      </w:pPr>
      <w:r w:rsidRPr="00DD2319">
        <w:rPr>
          <w:rFonts w:ascii="Muli" w:hAnsi="Muli"/>
          <w:color w:val="000000" w:themeColor="text1"/>
        </w:rPr>
        <w:t xml:space="preserve">La pregunta es cuánto durará esta pausa. Los bancos fijan el precio de sus hipotecas fijas mirando sobre todo al IRS, que sigue presionado, y el euríbor acumula varias sesiones por encima del 3,1%, lo que anticipa revisiones notablemente más caras para los hipotecados a </w:t>
      </w:r>
      <w:r w:rsidRPr="00DD2319">
        <w:rPr>
          <w:rFonts w:ascii="Muli" w:hAnsi="Muli"/>
          <w:color w:val="000000" w:themeColor="text1"/>
        </w:rPr>
        <w:lastRenderedPageBreak/>
        <w:t xml:space="preserve">tipo variable. En este contexto, </w:t>
      </w:r>
      <w:r w:rsidR="0066677B">
        <w:rPr>
          <w:rFonts w:ascii="Muli" w:hAnsi="Muli"/>
          <w:color w:val="000000" w:themeColor="text1"/>
        </w:rPr>
        <w:t>“</w:t>
      </w:r>
      <w:r w:rsidRPr="00DD2319">
        <w:rPr>
          <w:rFonts w:ascii="Muli" w:hAnsi="Muli"/>
          <w:color w:val="000000" w:themeColor="text1"/>
        </w:rPr>
        <w:t>las hipotecas mixtas vuelven a ganar protagonismo como producto de captación, con tramos fijos iniciales muy agresivos, aunque conviene mirar la TAE y el diferencial posterior. No sería extraño que el mercado viviera una nueva ronda de subidas en el último trimestre del año, por lo que quien esté pensando en firmar una hipoteca fija tiene ahora una ventana de precios estables que podría no prolongarse mucho</w:t>
      </w:r>
      <w:r w:rsidR="0066677B">
        <w:rPr>
          <w:rFonts w:ascii="Muli" w:hAnsi="Muli"/>
          <w:color w:val="000000" w:themeColor="text1"/>
        </w:rPr>
        <w:t xml:space="preserve">”, concluye Laura Martínez. </w:t>
      </w:r>
    </w:p>
    <w:p w14:paraId="134B4F77" w14:textId="77777777" w:rsidR="00DD2319" w:rsidRDefault="00DD2319" w:rsidP="005F704B">
      <w:pPr>
        <w:rPr>
          <w:rFonts w:ascii="Muli" w:hAnsi="Muli"/>
          <w:color w:val="000000" w:themeColor="text1"/>
        </w:rPr>
      </w:pPr>
    </w:p>
    <w:p w14:paraId="3DE54B77" w14:textId="77777777" w:rsidR="005F704B" w:rsidRDefault="005F704B" w:rsidP="00113AD7">
      <w:pPr>
        <w:rPr>
          <w:rStyle w:val="contentpasted0"/>
          <w:rFonts w:ascii="Muli" w:hAnsi="Muli"/>
          <w:b/>
          <w:bCs/>
          <w:color w:val="243962"/>
        </w:rPr>
      </w:pPr>
    </w:p>
    <w:p w14:paraId="208CF8A3" w14:textId="77777777" w:rsidR="00113AD7" w:rsidRDefault="527DAA66" w:rsidP="00113AD7">
      <w:r w:rsidRPr="0917CDB9">
        <w:rPr>
          <w:rStyle w:val="contentpasted0"/>
          <w:rFonts w:ascii="Muli" w:hAnsi="Muli"/>
          <w:b/>
          <w:bCs/>
          <w:color w:val="243962"/>
        </w:rPr>
        <w:t xml:space="preserve">Si necesita más información o declaraciones en formato audiovisual: </w:t>
      </w:r>
      <w:r w:rsidRPr="0917CDB9">
        <w:rPr>
          <w:rStyle w:val="contentpasted0"/>
          <w:rFonts w:ascii="Muli" w:hAnsi="Muli"/>
          <w:color w:val="000000" w:themeColor="text1"/>
        </w:rPr>
        <w:t>Póngase en contacto con el departamento de Comunicación. </w:t>
      </w:r>
    </w:p>
    <w:p w14:paraId="5B2B47FA" w14:textId="77777777" w:rsidR="0917CDB9" w:rsidRDefault="0917CDB9" w:rsidP="0917CDB9">
      <w:pPr>
        <w:rPr>
          <w:rStyle w:val="contentpasted0"/>
          <w:rFonts w:ascii="Muli" w:hAnsi="Muli"/>
          <w:color w:val="000000" w:themeColor="text1"/>
        </w:rPr>
      </w:pPr>
    </w:p>
    <w:p w14:paraId="0902886D" w14:textId="77777777" w:rsidR="006F790A" w:rsidRDefault="006F790A" w:rsidP="0917CDB9">
      <w:pPr>
        <w:rPr>
          <w:rStyle w:val="contentpasted0"/>
          <w:rFonts w:ascii="Muli" w:hAnsi="Muli"/>
          <w:color w:val="000000" w:themeColor="text1"/>
        </w:rPr>
      </w:pPr>
    </w:p>
    <w:p w14:paraId="41386D7A" w14:textId="77777777" w:rsidR="00113AD7" w:rsidRDefault="00113AD7" w:rsidP="50A4E4E4">
      <w:pPr>
        <w:rPr>
          <w:rFonts w:ascii="Muli" w:hAnsi="Muli"/>
          <w:b/>
          <w:bCs/>
          <w:color w:val="243962"/>
        </w:rPr>
      </w:pPr>
      <w:r w:rsidRPr="50A4E4E4">
        <w:rPr>
          <w:rFonts w:ascii="Muli" w:hAnsi="Muli"/>
          <w:b/>
          <w:bCs/>
          <w:color w:val="243962"/>
        </w:rPr>
        <w:t xml:space="preserve">Sobre iAhorro </w:t>
      </w:r>
    </w:p>
    <w:p w14:paraId="2CCCBDC9" w14:textId="77777777" w:rsidR="00113AD7" w:rsidRDefault="00113AD7" w:rsidP="00113AD7">
      <w:pPr>
        <w:rPr>
          <w:rFonts w:ascii="Muli" w:hAnsi="Muli"/>
        </w:rPr>
      </w:pPr>
      <w:r>
        <w:rPr>
          <w:rFonts w:ascii="Muli" w:hAnsi="Muli"/>
        </w:rPr>
        <w:t>iAhorro es el asesor hipotecario líder en España. El objetivo de la empresa es ayudar a los usuarios a contratar las hipotecas que mejor se adapten a sus necesidades.</w:t>
      </w:r>
    </w:p>
    <w:p w14:paraId="4599810A" w14:textId="77777777" w:rsidR="00113AD7" w:rsidRDefault="00113AD7" w:rsidP="00113AD7">
      <w:pPr>
        <w:rPr>
          <w:rFonts w:ascii="Muli" w:hAnsi="Muli"/>
        </w:rPr>
      </w:pPr>
      <w:r>
        <w:rPr>
          <w:rFonts w:ascii="Muli" w:hAnsi="Muli"/>
        </w:rPr>
        <w:t xml:space="preserve">iAhorro está certificada como empresa Intermediaria de Crédito Inmobiliario nºD185 por el Banco de España. iAhorro es una empresa independiente de las entidades financieras. Es propiedad del Grupo BC y está respaldado por el fondo Silver Lake. </w:t>
      </w:r>
    </w:p>
    <w:p w14:paraId="2CF83F3D" w14:textId="77777777" w:rsidR="00113AD7" w:rsidRDefault="00113AD7" w:rsidP="00113AD7">
      <w:pPr>
        <w:rPr>
          <w:rFonts w:ascii="Muli" w:hAnsi="Muli"/>
        </w:rPr>
      </w:pPr>
      <w:r>
        <w:rPr>
          <w:rFonts w:ascii="Muli" w:hAnsi="Muli"/>
        </w:rPr>
        <w:t xml:space="preserve">Fundado en 1974 con sede en Madrid, Grupo BC es el proveedor líder de servicios y software para la gestión hipotecaria, intermediación hipotecaria online, soluciones legales (tramitación de reclamaciones y gestión de préstamos) y soluciones digitales para el sector financiero en España, Portugal, México, Brasil, Colombia, Chile y Perú. Grupo BC es líder del mercado en sus principales áreas de interés, con más de 500.000 expedientes hipotecarios procesados al año y 5.300 colaboradores. </w:t>
      </w:r>
    </w:p>
    <w:p w14:paraId="4A9EE27F" w14:textId="77777777" w:rsidR="008F7397" w:rsidRDefault="00113AD7">
      <w:r>
        <w:rPr>
          <w:rFonts w:ascii="Muli" w:hAnsi="Muli"/>
        </w:rPr>
        <w:t>Silver Lake es una firma global de inversión en compañías tecnológicas, con más de 101.000 millones de dólares en activos bajo gestión y capital comprometido y un equipo de profesionales en Norteamérica, Europa y Asia. Las empresas en la cartera de Silver Lake generan colectivamente más de 266.000 millones de dólares de facturación anual y emplean a más de 540.000 personas en todo el mundo.</w:t>
      </w:r>
    </w:p>
    <w:sectPr w:rsidR="008F7397" w:rsidSect="00113AD7">
      <w:headerReference w:type="default" r:id="rId10"/>
      <w:footerReference w:type="default" r:id="rId11"/>
      <w:pgSz w:w="11906" w:h="16838"/>
      <w:pgMar w:top="1417" w:right="1701" w:bottom="1417" w:left="1701"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80439" w14:textId="77777777" w:rsidR="003445D1" w:rsidRDefault="003445D1" w:rsidP="00113AD7">
      <w:pPr>
        <w:spacing w:after="0" w:line="240" w:lineRule="auto"/>
      </w:pPr>
      <w:r>
        <w:separator/>
      </w:r>
    </w:p>
  </w:endnote>
  <w:endnote w:type="continuationSeparator" w:id="0">
    <w:p w14:paraId="6D30CD61" w14:textId="77777777" w:rsidR="003445D1" w:rsidRDefault="003445D1" w:rsidP="00113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uli">
    <w:altName w:val="Calibri"/>
    <w:charset w:val="00"/>
    <w:family w:val="auto"/>
    <w:pitch w:val="variable"/>
    <w:sig w:usb0="A00000FF" w:usb1="5000204B" w:usb2="00000000" w:usb3="00000000" w:csb0="00000193" w:csb1="00000000"/>
  </w:font>
  <w:font w:name="Montserrat">
    <w:altName w:val="Montserrat"/>
    <w:panose1 w:val="00000500000000000000"/>
    <w:charset w:val="00"/>
    <w:family w:val="auto"/>
    <w:pitch w:val="variable"/>
    <w:sig w:usb0="2000020F" w:usb1="00000003"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092" w:type="dxa"/>
      <w:tblLook w:val="04A0" w:firstRow="1" w:lastRow="0" w:firstColumn="1" w:lastColumn="0" w:noHBand="0" w:noVBand="1"/>
    </w:tblPr>
    <w:tblGrid>
      <w:gridCol w:w="1980"/>
      <w:gridCol w:w="2745"/>
      <w:gridCol w:w="2367"/>
    </w:tblGrid>
    <w:tr w:rsidR="00900DC5" w:rsidRPr="006C5338" w14:paraId="60732A04" w14:textId="77777777" w:rsidTr="50A4E4E4">
      <w:trPr>
        <w:trHeight w:val="132"/>
      </w:trPr>
      <w:tc>
        <w:tcPr>
          <w:tcW w:w="1980" w:type="dxa"/>
          <w:vAlign w:val="center"/>
        </w:tcPr>
        <w:p w14:paraId="69FB0995" w14:textId="77777777" w:rsidR="00900DC5" w:rsidRDefault="00900DC5" w:rsidP="00D400F9">
          <w:pPr>
            <w:tabs>
              <w:tab w:val="left" w:pos="1036"/>
            </w:tabs>
            <w:rPr>
              <w:b/>
              <w:sz w:val="18"/>
              <w:szCs w:val="18"/>
            </w:rPr>
          </w:pPr>
          <w:r>
            <w:rPr>
              <w:noProof/>
            </w:rPr>
            <w:drawing>
              <wp:inline distT="0" distB="0" distL="0" distR="0" wp14:anchorId="3D9A1930" wp14:editId="5BC522F9">
                <wp:extent cx="1041991" cy="493123"/>
                <wp:effectExtent l="0" t="0" r="0" b="0"/>
                <wp:docPr id="42289635" name="Gráfico 42289635">
                  <a:extLst xmlns:a="http://schemas.openxmlformats.org/drawingml/2006/main">
                    <a:ext uri="{FF2B5EF4-FFF2-40B4-BE49-F238E27FC236}">
                      <a16:creationId xmlns:a16="http://schemas.microsoft.com/office/drawing/2014/main" id="{B17D29EC-43E9-49AA-8C12-ACF2DF80AD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03646" cy="522301"/>
                        </a:xfrm>
                        <a:prstGeom prst="rect">
                          <a:avLst/>
                        </a:prstGeom>
                      </pic:spPr>
                    </pic:pic>
                  </a:graphicData>
                </a:graphic>
              </wp:inline>
            </w:drawing>
          </w:r>
        </w:p>
      </w:tc>
      <w:tc>
        <w:tcPr>
          <w:tcW w:w="2745" w:type="dxa"/>
          <w:vAlign w:val="center"/>
        </w:tcPr>
        <w:p w14:paraId="5EAB9270" w14:textId="77777777" w:rsidR="00900DC5" w:rsidRDefault="00900DC5" w:rsidP="00D400F9">
          <w:pPr>
            <w:tabs>
              <w:tab w:val="left" w:pos="1036"/>
            </w:tabs>
            <w:rPr>
              <w:b/>
              <w:sz w:val="18"/>
              <w:szCs w:val="18"/>
            </w:rPr>
          </w:pPr>
        </w:p>
        <w:p w14:paraId="771DAF72" w14:textId="77777777" w:rsidR="00900DC5" w:rsidRPr="00204B1C" w:rsidRDefault="00900DC5" w:rsidP="00D400F9">
          <w:pPr>
            <w:tabs>
              <w:tab w:val="left" w:pos="1036"/>
            </w:tabs>
            <w:rPr>
              <w:b/>
              <w:sz w:val="18"/>
              <w:szCs w:val="18"/>
            </w:rPr>
          </w:pPr>
          <w:r w:rsidRPr="009458B8">
            <w:rPr>
              <w:b/>
              <w:sz w:val="18"/>
              <w:szCs w:val="18"/>
            </w:rPr>
            <w:t>Laura Martínez</w:t>
          </w:r>
          <w:r w:rsidRPr="009458B8">
            <w:rPr>
              <w:sz w:val="18"/>
              <w:szCs w:val="18"/>
            </w:rPr>
            <w:t xml:space="preserve"> </w:t>
          </w:r>
          <w:r>
            <w:rPr>
              <w:sz w:val="18"/>
              <w:szCs w:val="18"/>
            </w:rPr>
            <w:t>– 686 688 757</w:t>
          </w:r>
          <w:r w:rsidRPr="009458B8">
            <w:rPr>
              <w:sz w:val="18"/>
              <w:szCs w:val="18"/>
            </w:rPr>
            <w:br/>
          </w:r>
          <w:hyperlink r:id="rId3" w:history="1">
            <w:r w:rsidRPr="009458B8">
              <w:rPr>
                <w:rStyle w:val="Hipervnculo"/>
                <w:sz w:val="18"/>
                <w:szCs w:val="18"/>
              </w:rPr>
              <w:t>laura.martinez@iahorro.com</w:t>
            </w:r>
          </w:hyperlink>
          <w:r w:rsidRPr="009458B8">
            <w:rPr>
              <w:sz w:val="18"/>
              <w:szCs w:val="18"/>
            </w:rPr>
            <w:t xml:space="preserve"> </w:t>
          </w:r>
        </w:p>
        <w:p w14:paraId="48E0A3AC" w14:textId="77777777" w:rsidR="00900DC5" w:rsidRPr="00204B1C" w:rsidRDefault="00900DC5" w:rsidP="00D400F9">
          <w:pPr>
            <w:tabs>
              <w:tab w:val="left" w:pos="1036"/>
            </w:tabs>
            <w:rPr>
              <w:b/>
              <w:sz w:val="18"/>
              <w:szCs w:val="18"/>
            </w:rPr>
          </w:pPr>
        </w:p>
      </w:tc>
      <w:tc>
        <w:tcPr>
          <w:tcW w:w="2367" w:type="dxa"/>
          <w:vAlign w:val="center"/>
        </w:tcPr>
        <w:p w14:paraId="6CF3CFAE" w14:textId="77777777" w:rsidR="00900DC5" w:rsidRPr="00B34F7A" w:rsidRDefault="00900DC5" w:rsidP="00D400F9">
          <w:pPr>
            <w:tabs>
              <w:tab w:val="left" w:pos="1036"/>
            </w:tabs>
            <w:rPr>
              <w:b/>
              <w:sz w:val="18"/>
              <w:szCs w:val="18"/>
              <w:lang w:val="pt-PT"/>
            </w:rPr>
          </w:pPr>
        </w:p>
      </w:tc>
    </w:tr>
  </w:tbl>
  <w:p w14:paraId="3D1FB332" w14:textId="77777777" w:rsidR="00900DC5" w:rsidRPr="006C5338" w:rsidRDefault="00900DC5">
    <w:pP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F805F" w14:textId="77777777" w:rsidR="003445D1" w:rsidRDefault="003445D1" w:rsidP="00113AD7">
      <w:pPr>
        <w:spacing w:after="0" w:line="240" w:lineRule="auto"/>
      </w:pPr>
      <w:r>
        <w:separator/>
      </w:r>
    </w:p>
  </w:footnote>
  <w:footnote w:type="continuationSeparator" w:id="0">
    <w:p w14:paraId="6C760553" w14:textId="77777777" w:rsidR="003445D1" w:rsidRDefault="003445D1" w:rsidP="00113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37B3" w14:textId="77777777" w:rsidR="00900DC5" w:rsidRDefault="00900DC5" w:rsidP="005F2F9F">
    <w:pPr>
      <w:tabs>
        <w:tab w:val="left" w:pos="3415"/>
        <w:tab w:val="left" w:pos="3492"/>
      </w:tabs>
    </w:pPr>
    <w:r w:rsidRPr="00942871">
      <w:rPr>
        <w:noProof/>
      </w:rPr>
      <w:drawing>
        <wp:anchor distT="0" distB="0" distL="114300" distR="114300" simplePos="0" relativeHeight="251658240" behindDoc="0" locked="0" layoutInCell="1" allowOverlap="1" wp14:anchorId="36D43D79" wp14:editId="07470F38">
          <wp:simplePos x="0" y="0"/>
          <wp:positionH relativeFrom="margin">
            <wp:posOffset>4072890</wp:posOffset>
          </wp:positionH>
          <wp:positionV relativeFrom="topMargin">
            <wp:posOffset>333375</wp:posOffset>
          </wp:positionV>
          <wp:extent cx="1509395" cy="714375"/>
          <wp:effectExtent l="0" t="0" r="0" b="0"/>
          <wp:wrapSquare wrapText="bothSides"/>
          <wp:docPr id="936040866" name="Imagen 936040866">
            <a:extLst xmlns:a="http://schemas.openxmlformats.org/drawingml/2006/main">
              <a:ext uri="{FF2B5EF4-FFF2-40B4-BE49-F238E27FC236}">
                <a16:creationId xmlns:a16="http://schemas.microsoft.com/office/drawing/2014/main" id="{AEC091C6-CAFD-4367-AA76-739AE34DDF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9395" cy="714375"/>
                  </a:xfrm>
                  <a:prstGeom prst="rect">
                    <a:avLst/>
                  </a:prstGeom>
                </pic:spPr>
              </pic:pic>
            </a:graphicData>
          </a:graphic>
        </wp:anchor>
      </w:drawing>
    </w:r>
    <w:r>
      <w:rPr>
        <w:noProof/>
      </w:rPr>
      <w:drawing>
        <wp:inline distT="0" distB="0" distL="0" distR="0" wp14:anchorId="4C1F9D07" wp14:editId="73D7EC88">
          <wp:extent cx="1945758" cy="921312"/>
          <wp:effectExtent l="0" t="0" r="0" b="0"/>
          <wp:docPr id="1228877611" name="Gráfico 1228877611">
            <a:extLst xmlns:a="http://schemas.openxmlformats.org/drawingml/2006/main">
              <a:ext uri="{FF2B5EF4-FFF2-40B4-BE49-F238E27FC236}">
                <a16:creationId xmlns:a16="http://schemas.microsoft.com/office/drawing/2014/main" id="{4202698A-129F-4F68-9EED-5DC9244B61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945758" cy="921312"/>
                  </a:xfrm>
                  <a:prstGeom prst="rect">
                    <a:avLst/>
                  </a:prstGeom>
                </pic:spPr>
              </pic:pic>
            </a:graphicData>
          </a:graphic>
        </wp:inline>
      </w:drawing>
    </w:r>
  </w:p>
  <w:p w14:paraId="26248A1F" w14:textId="77777777" w:rsidR="00900DC5" w:rsidRDefault="00900DC5" w:rsidP="005F2F9F">
    <w:pPr>
      <w:tabs>
        <w:tab w:val="left" w:pos="3415"/>
        <w:tab w:val="left" w:pos="349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F55E2"/>
    <w:multiLevelType w:val="hybridMultilevel"/>
    <w:tmpl w:val="1FDA7848"/>
    <w:lvl w:ilvl="0" w:tplc="0C0A0001">
      <w:start w:val="1"/>
      <w:numFmt w:val="bullet"/>
      <w:lvlText w:val=""/>
      <w:lvlJc w:val="left"/>
      <w:pPr>
        <w:ind w:left="2629"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27968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AD7"/>
    <w:rsid w:val="000010D4"/>
    <w:rsid w:val="000011A0"/>
    <w:rsid w:val="00003138"/>
    <w:rsid w:val="00007B1D"/>
    <w:rsid w:val="00010174"/>
    <w:rsid w:val="000116F7"/>
    <w:rsid w:val="0001363E"/>
    <w:rsid w:val="00021F60"/>
    <w:rsid w:val="00024BC1"/>
    <w:rsid w:val="00030CD6"/>
    <w:rsid w:val="000313E2"/>
    <w:rsid w:val="00033D09"/>
    <w:rsid w:val="000342F9"/>
    <w:rsid w:val="00037614"/>
    <w:rsid w:val="00040F4A"/>
    <w:rsid w:val="00041F20"/>
    <w:rsid w:val="00042B94"/>
    <w:rsid w:val="00044BF0"/>
    <w:rsid w:val="000475B9"/>
    <w:rsid w:val="00047DB5"/>
    <w:rsid w:val="00052064"/>
    <w:rsid w:val="0005306D"/>
    <w:rsid w:val="000566C6"/>
    <w:rsid w:val="00064100"/>
    <w:rsid w:val="00070224"/>
    <w:rsid w:val="00070F56"/>
    <w:rsid w:val="000714DF"/>
    <w:rsid w:val="0007715B"/>
    <w:rsid w:val="0007793D"/>
    <w:rsid w:val="00077958"/>
    <w:rsid w:val="00077FF3"/>
    <w:rsid w:val="0008257A"/>
    <w:rsid w:val="0008326F"/>
    <w:rsid w:val="00084F55"/>
    <w:rsid w:val="00085B10"/>
    <w:rsid w:val="00087623"/>
    <w:rsid w:val="00093569"/>
    <w:rsid w:val="00093707"/>
    <w:rsid w:val="00094EDE"/>
    <w:rsid w:val="00096E97"/>
    <w:rsid w:val="000A14BD"/>
    <w:rsid w:val="000A43C8"/>
    <w:rsid w:val="000A48A1"/>
    <w:rsid w:val="000A6987"/>
    <w:rsid w:val="000B0210"/>
    <w:rsid w:val="000B2FD2"/>
    <w:rsid w:val="000B648E"/>
    <w:rsid w:val="000B6CC3"/>
    <w:rsid w:val="000B75A3"/>
    <w:rsid w:val="000B7D09"/>
    <w:rsid w:val="000C382A"/>
    <w:rsid w:val="000C5D82"/>
    <w:rsid w:val="000C6977"/>
    <w:rsid w:val="000D0BEF"/>
    <w:rsid w:val="000D28D1"/>
    <w:rsid w:val="000D2D2E"/>
    <w:rsid w:val="000D2DCA"/>
    <w:rsid w:val="000D56A2"/>
    <w:rsid w:val="000D5BF4"/>
    <w:rsid w:val="000E0B87"/>
    <w:rsid w:val="000E1DB0"/>
    <w:rsid w:val="000E3419"/>
    <w:rsid w:val="000E375F"/>
    <w:rsid w:val="000E615C"/>
    <w:rsid w:val="000F0FB0"/>
    <w:rsid w:val="000F1142"/>
    <w:rsid w:val="000F210A"/>
    <w:rsid w:val="000F2E3C"/>
    <w:rsid w:val="000F4A71"/>
    <w:rsid w:val="000F4F24"/>
    <w:rsid w:val="000F61BE"/>
    <w:rsid w:val="00100AE8"/>
    <w:rsid w:val="00102BDD"/>
    <w:rsid w:val="001110AC"/>
    <w:rsid w:val="00111869"/>
    <w:rsid w:val="00113AD7"/>
    <w:rsid w:val="00116673"/>
    <w:rsid w:val="001254CE"/>
    <w:rsid w:val="001259B9"/>
    <w:rsid w:val="00130373"/>
    <w:rsid w:val="00130F13"/>
    <w:rsid w:val="001343C0"/>
    <w:rsid w:val="0014054B"/>
    <w:rsid w:val="00142B8A"/>
    <w:rsid w:val="0014369C"/>
    <w:rsid w:val="001515C5"/>
    <w:rsid w:val="001518C0"/>
    <w:rsid w:val="001556ED"/>
    <w:rsid w:val="00155BB4"/>
    <w:rsid w:val="00161FA4"/>
    <w:rsid w:val="00162BCB"/>
    <w:rsid w:val="00164271"/>
    <w:rsid w:val="001668D7"/>
    <w:rsid w:val="0016746E"/>
    <w:rsid w:val="0016792E"/>
    <w:rsid w:val="001723D5"/>
    <w:rsid w:val="001772C2"/>
    <w:rsid w:val="001774D8"/>
    <w:rsid w:val="001777BC"/>
    <w:rsid w:val="00181A56"/>
    <w:rsid w:val="00184D2A"/>
    <w:rsid w:val="00187A5A"/>
    <w:rsid w:val="00187D6B"/>
    <w:rsid w:val="00187F5F"/>
    <w:rsid w:val="001903B9"/>
    <w:rsid w:val="00191C5D"/>
    <w:rsid w:val="00194A33"/>
    <w:rsid w:val="00196150"/>
    <w:rsid w:val="0019629A"/>
    <w:rsid w:val="001977F9"/>
    <w:rsid w:val="001A0D58"/>
    <w:rsid w:val="001A2070"/>
    <w:rsid w:val="001B0BA5"/>
    <w:rsid w:val="001B0F85"/>
    <w:rsid w:val="001B5D54"/>
    <w:rsid w:val="001B6DCC"/>
    <w:rsid w:val="001C0F50"/>
    <w:rsid w:val="001C2FD3"/>
    <w:rsid w:val="001C4704"/>
    <w:rsid w:val="001C636F"/>
    <w:rsid w:val="001D02DD"/>
    <w:rsid w:val="001D1541"/>
    <w:rsid w:val="001D156D"/>
    <w:rsid w:val="001D5903"/>
    <w:rsid w:val="001D7769"/>
    <w:rsid w:val="001E1147"/>
    <w:rsid w:val="001E373F"/>
    <w:rsid w:val="001E38BF"/>
    <w:rsid w:val="001E4C13"/>
    <w:rsid w:val="001E5DA6"/>
    <w:rsid w:val="001E6BD5"/>
    <w:rsid w:val="001E7010"/>
    <w:rsid w:val="001F3D9C"/>
    <w:rsid w:val="001F5CDC"/>
    <w:rsid w:val="001F785B"/>
    <w:rsid w:val="0020011E"/>
    <w:rsid w:val="00201A25"/>
    <w:rsid w:val="00204233"/>
    <w:rsid w:val="0020573F"/>
    <w:rsid w:val="00211235"/>
    <w:rsid w:val="00211A03"/>
    <w:rsid w:val="00212E4F"/>
    <w:rsid w:val="002135E4"/>
    <w:rsid w:val="00223DC4"/>
    <w:rsid w:val="00224AFC"/>
    <w:rsid w:val="00226460"/>
    <w:rsid w:val="002302A2"/>
    <w:rsid w:val="002317BC"/>
    <w:rsid w:val="0023231A"/>
    <w:rsid w:val="00232C76"/>
    <w:rsid w:val="00233D31"/>
    <w:rsid w:val="00241B09"/>
    <w:rsid w:val="00241EFA"/>
    <w:rsid w:val="002421B6"/>
    <w:rsid w:val="00245FAB"/>
    <w:rsid w:val="0024694D"/>
    <w:rsid w:val="00247EEC"/>
    <w:rsid w:val="002509DC"/>
    <w:rsid w:val="002526CC"/>
    <w:rsid w:val="00255AB2"/>
    <w:rsid w:val="002562BA"/>
    <w:rsid w:val="00261E28"/>
    <w:rsid w:val="002656F7"/>
    <w:rsid w:val="00273643"/>
    <w:rsid w:val="002742B6"/>
    <w:rsid w:val="00274C6E"/>
    <w:rsid w:val="00275C89"/>
    <w:rsid w:val="00276134"/>
    <w:rsid w:val="00276EA2"/>
    <w:rsid w:val="002770B7"/>
    <w:rsid w:val="00277D75"/>
    <w:rsid w:val="0028224E"/>
    <w:rsid w:val="002835B6"/>
    <w:rsid w:val="002870A9"/>
    <w:rsid w:val="002876E7"/>
    <w:rsid w:val="00291B79"/>
    <w:rsid w:val="00291C0D"/>
    <w:rsid w:val="00293388"/>
    <w:rsid w:val="002953C1"/>
    <w:rsid w:val="002A095E"/>
    <w:rsid w:val="002A106B"/>
    <w:rsid w:val="002A13B2"/>
    <w:rsid w:val="002A1630"/>
    <w:rsid w:val="002A1F04"/>
    <w:rsid w:val="002B0DD5"/>
    <w:rsid w:val="002B16A2"/>
    <w:rsid w:val="002B1C94"/>
    <w:rsid w:val="002B496D"/>
    <w:rsid w:val="002B54E8"/>
    <w:rsid w:val="002B785E"/>
    <w:rsid w:val="002C18AB"/>
    <w:rsid w:val="002C4EA0"/>
    <w:rsid w:val="002C52E5"/>
    <w:rsid w:val="002C556C"/>
    <w:rsid w:val="002C6124"/>
    <w:rsid w:val="002D3A57"/>
    <w:rsid w:val="002D4EE9"/>
    <w:rsid w:val="002D578D"/>
    <w:rsid w:val="002D6673"/>
    <w:rsid w:val="002D7981"/>
    <w:rsid w:val="002D7FC6"/>
    <w:rsid w:val="002E3C4F"/>
    <w:rsid w:val="002E6727"/>
    <w:rsid w:val="002F22F5"/>
    <w:rsid w:val="002F31E4"/>
    <w:rsid w:val="002F3280"/>
    <w:rsid w:val="002F547C"/>
    <w:rsid w:val="002F5A80"/>
    <w:rsid w:val="00300483"/>
    <w:rsid w:val="00302023"/>
    <w:rsid w:val="003032C3"/>
    <w:rsid w:val="00304F4D"/>
    <w:rsid w:val="00305EDF"/>
    <w:rsid w:val="00305FCC"/>
    <w:rsid w:val="00306109"/>
    <w:rsid w:val="003062DB"/>
    <w:rsid w:val="003112D5"/>
    <w:rsid w:val="00311316"/>
    <w:rsid w:val="00311F2B"/>
    <w:rsid w:val="00314F9A"/>
    <w:rsid w:val="00315473"/>
    <w:rsid w:val="00321D7C"/>
    <w:rsid w:val="00323DC4"/>
    <w:rsid w:val="003242AE"/>
    <w:rsid w:val="00330BB5"/>
    <w:rsid w:val="003369DD"/>
    <w:rsid w:val="00337431"/>
    <w:rsid w:val="00337672"/>
    <w:rsid w:val="003445D1"/>
    <w:rsid w:val="003527CB"/>
    <w:rsid w:val="00355F30"/>
    <w:rsid w:val="00357CD2"/>
    <w:rsid w:val="003605CD"/>
    <w:rsid w:val="00364E09"/>
    <w:rsid w:val="003651D6"/>
    <w:rsid w:val="00367B42"/>
    <w:rsid w:val="00372730"/>
    <w:rsid w:val="003743E8"/>
    <w:rsid w:val="00375ECC"/>
    <w:rsid w:val="00380EA0"/>
    <w:rsid w:val="00381D98"/>
    <w:rsid w:val="00381FFA"/>
    <w:rsid w:val="00382B0C"/>
    <w:rsid w:val="00384ACF"/>
    <w:rsid w:val="003858FD"/>
    <w:rsid w:val="00386444"/>
    <w:rsid w:val="00391884"/>
    <w:rsid w:val="00393E7E"/>
    <w:rsid w:val="00394DF6"/>
    <w:rsid w:val="003A35E9"/>
    <w:rsid w:val="003A4D66"/>
    <w:rsid w:val="003A4F15"/>
    <w:rsid w:val="003A517A"/>
    <w:rsid w:val="003A52D3"/>
    <w:rsid w:val="003A6687"/>
    <w:rsid w:val="003A6736"/>
    <w:rsid w:val="003B05B6"/>
    <w:rsid w:val="003B2BFB"/>
    <w:rsid w:val="003B6002"/>
    <w:rsid w:val="003C4773"/>
    <w:rsid w:val="003C4A68"/>
    <w:rsid w:val="003C774C"/>
    <w:rsid w:val="003D13EA"/>
    <w:rsid w:val="003D1FB9"/>
    <w:rsid w:val="003D2947"/>
    <w:rsid w:val="003D6B37"/>
    <w:rsid w:val="003E2A95"/>
    <w:rsid w:val="003E2D3F"/>
    <w:rsid w:val="003E3814"/>
    <w:rsid w:val="003E5924"/>
    <w:rsid w:val="003E7B41"/>
    <w:rsid w:val="003F0FA6"/>
    <w:rsid w:val="003F2D9D"/>
    <w:rsid w:val="003F4D46"/>
    <w:rsid w:val="003F62CF"/>
    <w:rsid w:val="004054F5"/>
    <w:rsid w:val="004116EF"/>
    <w:rsid w:val="00411F04"/>
    <w:rsid w:val="00413094"/>
    <w:rsid w:val="0041332B"/>
    <w:rsid w:val="00413D58"/>
    <w:rsid w:val="00414C80"/>
    <w:rsid w:val="00420145"/>
    <w:rsid w:val="00420992"/>
    <w:rsid w:val="004210B1"/>
    <w:rsid w:val="004230F7"/>
    <w:rsid w:val="004233E9"/>
    <w:rsid w:val="00425265"/>
    <w:rsid w:val="004304DA"/>
    <w:rsid w:val="00431CB8"/>
    <w:rsid w:val="00432731"/>
    <w:rsid w:val="00433C9F"/>
    <w:rsid w:val="00433F09"/>
    <w:rsid w:val="0043405A"/>
    <w:rsid w:val="00435CE1"/>
    <w:rsid w:val="00440582"/>
    <w:rsid w:val="00441C83"/>
    <w:rsid w:val="004434AC"/>
    <w:rsid w:val="004449A1"/>
    <w:rsid w:val="00444ABD"/>
    <w:rsid w:val="00445582"/>
    <w:rsid w:val="0044643A"/>
    <w:rsid w:val="0044670A"/>
    <w:rsid w:val="004538BA"/>
    <w:rsid w:val="00461780"/>
    <w:rsid w:val="004635C8"/>
    <w:rsid w:val="004650FD"/>
    <w:rsid w:val="00465DC4"/>
    <w:rsid w:val="00466B6F"/>
    <w:rsid w:val="00467380"/>
    <w:rsid w:val="00467BB2"/>
    <w:rsid w:val="00474950"/>
    <w:rsid w:val="0047531A"/>
    <w:rsid w:val="0047604C"/>
    <w:rsid w:val="00481F1F"/>
    <w:rsid w:val="00483D98"/>
    <w:rsid w:val="00483E05"/>
    <w:rsid w:val="00485926"/>
    <w:rsid w:val="00487382"/>
    <w:rsid w:val="004915CE"/>
    <w:rsid w:val="0049301D"/>
    <w:rsid w:val="004949BC"/>
    <w:rsid w:val="004959C9"/>
    <w:rsid w:val="004A0962"/>
    <w:rsid w:val="004A3E75"/>
    <w:rsid w:val="004A4D04"/>
    <w:rsid w:val="004A4D29"/>
    <w:rsid w:val="004A5377"/>
    <w:rsid w:val="004A62EB"/>
    <w:rsid w:val="004A780E"/>
    <w:rsid w:val="004B046E"/>
    <w:rsid w:val="004B0B62"/>
    <w:rsid w:val="004B3A25"/>
    <w:rsid w:val="004B540B"/>
    <w:rsid w:val="004B667C"/>
    <w:rsid w:val="004B6738"/>
    <w:rsid w:val="004C07CA"/>
    <w:rsid w:val="004C2A7B"/>
    <w:rsid w:val="004C3F96"/>
    <w:rsid w:val="004C5D83"/>
    <w:rsid w:val="004C5F04"/>
    <w:rsid w:val="004E14FE"/>
    <w:rsid w:val="004E20E1"/>
    <w:rsid w:val="004E42DD"/>
    <w:rsid w:val="004E5311"/>
    <w:rsid w:val="004E5B8C"/>
    <w:rsid w:val="004E60A2"/>
    <w:rsid w:val="004E6A34"/>
    <w:rsid w:val="004F0798"/>
    <w:rsid w:val="004F0D83"/>
    <w:rsid w:val="004F3A3B"/>
    <w:rsid w:val="004F54D9"/>
    <w:rsid w:val="004F5652"/>
    <w:rsid w:val="004F58E5"/>
    <w:rsid w:val="004F76A9"/>
    <w:rsid w:val="005013E0"/>
    <w:rsid w:val="00503BDC"/>
    <w:rsid w:val="00510DB0"/>
    <w:rsid w:val="00511EDD"/>
    <w:rsid w:val="00513767"/>
    <w:rsid w:val="00513A0B"/>
    <w:rsid w:val="00516CF5"/>
    <w:rsid w:val="00517557"/>
    <w:rsid w:val="005212A0"/>
    <w:rsid w:val="00522EBD"/>
    <w:rsid w:val="00523621"/>
    <w:rsid w:val="00524953"/>
    <w:rsid w:val="00524AC4"/>
    <w:rsid w:val="005250B3"/>
    <w:rsid w:val="005303AD"/>
    <w:rsid w:val="0053402A"/>
    <w:rsid w:val="005346A9"/>
    <w:rsid w:val="005349F7"/>
    <w:rsid w:val="00534FB9"/>
    <w:rsid w:val="0053609D"/>
    <w:rsid w:val="005372C1"/>
    <w:rsid w:val="00540A7F"/>
    <w:rsid w:val="00543380"/>
    <w:rsid w:val="005440C5"/>
    <w:rsid w:val="0054500A"/>
    <w:rsid w:val="005453C6"/>
    <w:rsid w:val="00551A97"/>
    <w:rsid w:val="00555AF1"/>
    <w:rsid w:val="00556023"/>
    <w:rsid w:val="0055647F"/>
    <w:rsid w:val="00557124"/>
    <w:rsid w:val="005600BA"/>
    <w:rsid w:val="00560559"/>
    <w:rsid w:val="0056082D"/>
    <w:rsid w:val="005635B2"/>
    <w:rsid w:val="0056538A"/>
    <w:rsid w:val="00566739"/>
    <w:rsid w:val="0056744F"/>
    <w:rsid w:val="00570237"/>
    <w:rsid w:val="005707A8"/>
    <w:rsid w:val="0057305E"/>
    <w:rsid w:val="00573680"/>
    <w:rsid w:val="00573853"/>
    <w:rsid w:val="00573A40"/>
    <w:rsid w:val="0058047F"/>
    <w:rsid w:val="005943EE"/>
    <w:rsid w:val="00594879"/>
    <w:rsid w:val="00596904"/>
    <w:rsid w:val="00596FFD"/>
    <w:rsid w:val="00597CF0"/>
    <w:rsid w:val="005A021A"/>
    <w:rsid w:val="005A1EFF"/>
    <w:rsid w:val="005A201A"/>
    <w:rsid w:val="005A30B9"/>
    <w:rsid w:val="005A3D07"/>
    <w:rsid w:val="005B22D2"/>
    <w:rsid w:val="005B6505"/>
    <w:rsid w:val="005C0F85"/>
    <w:rsid w:val="005C2457"/>
    <w:rsid w:val="005C3851"/>
    <w:rsid w:val="005C3F39"/>
    <w:rsid w:val="005C4CD2"/>
    <w:rsid w:val="005C4D7D"/>
    <w:rsid w:val="005C4F75"/>
    <w:rsid w:val="005C5A43"/>
    <w:rsid w:val="005C649A"/>
    <w:rsid w:val="005D1164"/>
    <w:rsid w:val="005D39F0"/>
    <w:rsid w:val="005D6D8C"/>
    <w:rsid w:val="005E05C9"/>
    <w:rsid w:val="005E4A5F"/>
    <w:rsid w:val="005E6020"/>
    <w:rsid w:val="005F2F9F"/>
    <w:rsid w:val="005F704B"/>
    <w:rsid w:val="006027A5"/>
    <w:rsid w:val="00602DFE"/>
    <w:rsid w:val="00605024"/>
    <w:rsid w:val="0060727B"/>
    <w:rsid w:val="006117BF"/>
    <w:rsid w:val="00611D21"/>
    <w:rsid w:val="00612C5E"/>
    <w:rsid w:val="00615951"/>
    <w:rsid w:val="0061608C"/>
    <w:rsid w:val="0062161A"/>
    <w:rsid w:val="006234C8"/>
    <w:rsid w:val="006234CF"/>
    <w:rsid w:val="006237DD"/>
    <w:rsid w:val="00624CAD"/>
    <w:rsid w:val="00625110"/>
    <w:rsid w:val="006303DE"/>
    <w:rsid w:val="00630E22"/>
    <w:rsid w:val="0063507C"/>
    <w:rsid w:val="00636767"/>
    <w:rsid w:val="00650A25"/>
    <w:rsid w:val="006528D3"/>
    <w:rsid w:val="00655714"/>
    <w:rsid w:val="0066049A"/>
    <w:rsid w:val="00661F38"/>
    <w:rsid w:val="006634A3"/>
    <w:rsid w:val="0066677B"/>
    <w:rsid w:val="00674BCD"/>
    <w:rsid w:val="0068600D"/>
    <w:rsid w:val="006870C2"/>
    <w:rsid w:val="00691978"/>
    <w:rsid w:val="006936B2"/>
    <w:rsid w:val="00693C10"/>
    <w:rsid w:val="006A281B"/>
    <w:rsid w:val="006A3F19"/>
    <w:rsid w:val="006B05FA"/>
    <w:rsid w:val="006B0C67"/>
    <w:rsid w:val="006B28AE"/>
    <w:rsid w:val="006B3456"/>
    <w:rsid w:val="006B470C"/>
    <w:rsid w:val="006B50AC"/>
    <w:rsid w:val="006C057D"/>
    <w:rsid w:val="006C0908"/>
    <w:rsid w:val="006C1FB0"/>
    <w:rsid w:val="006C4171"/>
    <w:rsid w:val="006C5338"/>
    <w:rsid w:val="006C5D96"/>
    <w:rsid w:val="006D390F"/>
    <w:rsid w:val="006D472F"/>
    <w:rsid w:val="006D47CC"/>
    <w:rsid w:val="006E09B8"/>
    <w:rsid w:val="006E2DE0"/>
    <w:rsid w:val="006E418D"/>
    <w:rsid w:val="006E4E7A"/>
    <w:rsid w:val="006E562A"/>
    <w:rsid w:val="006E6105"/>
    <w:rsid w:val="006F2132"/>
    <w:rsid w:val="006F2A1A"/>
    <w:rsid w:val="006F2E2F"/>
    <w:rsid w:val="006F57D6"/>
    <w:rsid w:val="006F790A"/>
    <w:rsid w:val="00703EDB"/>
    <w:rsid w:val="0070742B"/>
    <w:rsid w:val="00707A9E"/>
    <w:rsid w:val="00710666"/>
    <w:rsid w:val="00710BBF"/>
    <w:rsid w:val="00713225"/>
    <w:rsid w:val="00714CE4"/>
    <w:rsid w:val="0072032D"/>
    <w:rsid w:val="00722176"/>
    <w:rsid w:val="00723700"/>
    <w:rsid w:val="00727C21"/>
    <w:rsid w:val="00730F3E"/>
    <w:rsid w:val="007320D6"/>
    <w:rsid w:val="00732204"/>
    <w:rsid w:val="00732FFB"/>
    <w:rsid w:val="007363F4"/>
    <w:rsid w:val="007365A6"/>
    <w:rsid w:val="00736F87"/>
    <w:rsid w:val="00737EF6"/>
    <w:rsid w:val="00740848"/>
    <w:rsid w:val="00742865"/>
    <w:rsid w:val="00745F20"/>
    <w:rsid w:val="007502EC"/>
    <w:rsid w:val="00750F47"/>
    <w:rsid w:val="00750F99"/>
    <w:rsid w:val="00753F12"/>
    <w:rsid w:val="0075580A"/>
    <w:rsid w:val="0077120E"/>
    <w:rsid w:val="0077312B"/>
    <w:rsid w:val="00773A81"/>
    <w:rsid w:val="00773ABD"/>
    <w:rsid w:val="00774F27"/>
    <w:rsid w:val="00780042"/>
    <w:rsid w:val="00780F5B"/>
    <w:rsid w:val="00781CE0"/>
    <w:rsid w:val="007837C7"/>
    <w:rsid w:val="00786F1C"/>
    <w:rsid w:val="00792D0D"/>
    <w:rsid w:val="00794893"/>
    <w:rsid w:val="00797782"/>
    <w:rsid w:val="00797BF6"/>
    <w:rsid w:val="007A0B56"/>
    <w:rsid w:val="007A1C53"/>
    <w:rsid w:val="007A22DC"/>
    <w:rsid w:val="007A3B80"/>
    <w:rsid w:val="007A7EB4"/>
    <w:rsid w:val="007B0C88"/>
    <w:rsid w:val="007B1913"/>
    <w:rsid w:val="007B6911"/>
    <w:rsid w:val="007B7631"/>
    <w:rsid w:val="007B7B56"/>
    <w:rsid w:val="007B7DFD"/>
    <w:rsid w:val="007C0296"/>
    <w:rsid w:val="007C07BA"/>
    <w:rsid w:val="007D1470"/>
    <w:rsid w:val="007D4948"/>
    <w:rsid w:val="007E1F3E"/>
    <w:rsid w:val="007E41BE"/>
    <w:rsid w:val="007E5588"/>
    <w:rsid w:val="007F374C"/>
    <w:rsid w:val="007F3A02"/>
    <w:rsid w:val="007F7328"/>
    <w:rsid w:val="007F7E52"/>
    <w:rsid w:val="008050CD"/>
    <w:rsid w:val="00805103"/>
    <w:rsid w:val="0081213D"/>
    <w:rsid w:val="00812E24"/>
    <w:rsid w:val="00813D53"/>
    <w:rsid w:val="00815C46"/>
    <w:rsid w:val="008200DC"/>
    <w:rsid w:val="00821369"/>
    <w:rsid w:val="00826864"/>
    <w:rsid w:val="00826868"/>
    <w:rsid w:val="008268FD"/>
    <w:rsid w:val="00832F3A"/>
    <w:rsid w:val="008344A8"/>
    <w:rsid w:val="00840C0A"/>
    <w:rsid w:val="008419EE"/>
    <w:rsid w:val="0084335A"/>
    <w:rsid w:val="008439B2"/>
    <w:rsid w:val="00846D2A"/>
    <w:rsid w:val="00846E1F"/>
    <w:rsid w:val="0085001C"/>
    <w:rsid w:val="00851A31"/>
    <w:rsid w:val="008569A0"/>
    <w:rsid w:val="0085781E"/>
    <w:rsid w:val="00860F7E"/>
    <w:rsid w:val="008643F3"/>
    <w:rsid w:val="00866207"/>
    <w:rsid w:val="008669CF"/>
    <w:rsid w:val="00866BAB"/>
    <w:rsid w:val="00871322"/>
    <w:rsid w:val="008734D4"/>
    <w:rsid w:val="008758D2"/>
    <w:rsid w:val="008804D7"/>
    <w:rsid w:val="008834BD"/>
    <w:rsid w:val="00885E57"/>
    <w:rsid w:val="00886444"/>
    <w:rsid w:val="008865E7"/>
    <w:rsid w:val="00892EC6"/>
    <w:rsid w:val="008A1054"/>
    <w:rsid w:val="008A2061"/>
    <w:rsid w:val="008A3952"/>
    <w:rsid w:val="008A3A60"/>
    <w:rsid w:val="008B1A19"/>
    <w:rsid w:val="008B2B4E"/>
    <w:rsid w:val="008B3219"/>
    <w:rsid w:val="008B4F91"/>
    <w:rsid w:val="008B5458"/>
    <w:rsid w:val="008B74F0"/>
    <w:rsid w:val="008B778E"/>
    <w:rsid w:val="008C0E74"/>
    <w:rsid w:val="008C1C16"/>
    <w:rsid w:val="008C31CC"/>
    <w:rsid w:val="008D4352"/>
    <w:rsid w:val="008D4BCA"/>
    <w:rsid w:val="008D74F3"/>
    <w:rsid w:val="008D79B5"/>
    <w:rsid w:val="008E3C2C"/>
    <w:rsid w:val="008E3DDC"/>
    <w:rsid w:val="008E4F77"/>
    <w:rsid w:val="008F10AE"/>
    <w:rsid w:val="008F1B4E"/>
    <w:rsid w:val="008F1BDC"/>
    <w:rsid w:val="008F1EC7"/>
    <w:rsid w:val="008F26D2"/>
    <w:rsid w:val="008F3F9C"/>
    <w:rsid w:val="008F7397"/>
    <w:rsid w:val="00900167"/>
    <w:rsid w:val="00900DC5"/>
    <w:rsid w:val="00907459"/>
    <w:rsid w:val="0091009F"/>
    <w:rsid w:val="0091245E"/>
    <w:rsid w:val="009233A1"/>
    <w:rsid w:val="00923E96"/>
    <w:rsid w:val="00924731"/>
    <w:rsid w:val="00926A11"/>
    <w:rsid w:val="00927802"/>
    <w:rsid w:val="0093080F"/>
    <w:rsid w:val="009338F7"/>
    <w:rsid w:val="00934017"/>
    <w:rsid w:val="00934209"/>
    <w:rsid w:val="009342BA"/>
    <w:rsid w:val="00936DE3"/>
    <w:rsid w:val="0094170F"/>
    <w:rsid w:val="00945996"/>
    <w:rsid w:val="009479AD"/>
    <w:rsid w:val="009519DC"/>
    <w:rsid w:val="00956652"/>
    <w:rsid w:val="00960661"/>
    <w:rsid w:val="00962087"/>
    <w:rsid w:val="009636F2"/>
    <w:rsid w:val="009716BB"/>
    <w:rsid w:val="00975B51"/>
    <w:rsid w:val="00977050"/>
    <w:rsid w:val="009857C8"/>
    <w:rsid w:val="0098F9A1"/>
    <w:rsid w:val="009910AD"/>
    <w:rsid w:val="00994D19"/>
    <w:rsid w:val="00996AE6"/>
    <w:rsid w:val="00996BAA"/>
    <w:rsid w:val="00996D6F"/>
    <w:rsid w:val="009A125A"/>
    <w:rsid w:val="009A1AE7"/>
    <w:rsid w:val="009A3F0A"/>
    <w:rsid w:val="009A5962"/>
    <w:rsid w:val="009A6E2C"/>
    <w:rsid w:val="009A77C9"/>
    <w:rsid w:val="009B5137"/>
    <w:rsid w:val="009B5C06"/>
    <w:rsid w:val="009C37F2"/>
    <w:rsid w:val="009C5FA9"/>
    <w:rsid w:val="009C720D"/>
    <w:rsid w:val="009C755C"/>
    <w:rsid w:val="009D0279"/>
    <w:rsid w:val="009D3826"/>
    <w:rsid w:val="009D3854"/>
    <w:rsid w:val="009D58C8"/>
    <w:rsid w:val="009D6CDC"/>
    <w:rsid w:val="009E02F3"/>
    <w:rsid w:val="009E0C4C"/>
    <w:rsid w:val="009E12D0"/>
    <w:rsid w:val="009E2EB0"/>
    <w:rsid w:val="009E33F3"/>
    <w:rsid w:val="009E3E6A"/>
    <w:rsid w:val="009E4483"/>
    <w:rsid w:val="009E4D9B"/>
    <w:rsid w:val="009F0C48"/>
    <w:rsid w:val="009F1A14"/>
    <w:rsid w:val="009F26D2"/>
    <w:rsid w:val="009F6D21"/>
    <w:rsid w:val="00A019DA"/>
    <w:rsid w:val="00A071DB"/>
    <w:rsid w:val="00A1079E"/>
    <w:rsid w:val="00A1089A"/>
    <w:rsid w:val="00A10955"/>
    <w:rsid w:val="00A117D4"/>
    <w:rsid w:val="00A1381A"/>
    <w:rsid w:val="00A13A9D"/>
    <w:rsid w:val="00A20074"/>
    <w:rsid w:val="00A212B4"/>
    <w:rsid w:val="00A23022"/>
    <w:rsid w:val="00A2341E"/>
    <w:rsid w:val="00A24F84"/>
    <w:rsid w:val="00A250DF"/>
    <w:rsid w:val="00A25A56"/>
    <w:rsid w:val="00A262A7"/>
    <w:rsid w:val="00A2644D"/>
    <w:rsid w:val="00A27129"/>
    <w:rsid w:val="00A27BC1"/>
    <w:rsid w:val="00A27C0A"/>
    <w:rsid w:val="00A3299E"/>
    <w:rsid w:val="00A336F5"/>
    <w:rsid w:val="00A36F0E"/>
    <w:rsid w:val="00A4025C"/>
    <w:rsid w:val="00A40780"/>
    <w:rsid w:val="00A40AF8"/>
    <w:rsid w:val="00A44347"/>
    <w:rsid w:val="00A51275"/>
    <w:rsid w:val="00A51DEE"/>
    <w:rsid w:val="00A609B7"/>
    <w:rsid w:val="00A60A50"/>
    <w:rsid w:val="00A60ECA"/>
    <w:rsid w:val="00A61D6D"/>
    <w:rsid w:val="00A6223D"/>
    <w:rsid w:val="00A622BA"/>
    <w:rsid w:val="00A62C8B"/>
    <w:rsid w:val="00A63BDE"/>
    <w:rsid w:val="00A71EF3"/>
    <w:rsid w:val="00A72552"/>
    <w:rsid w:val="00A72667"/>
    <w:rsid w:val="00A72836"/>
    <w:rsid w:val="00A76794"/>
    <w:rsid w:val="00A776BB"/>
    <w:rsid w:val="00A90066"/>
    <w:rsid w:val="00A93054"/>
    <w:rsid w:val="00AA133B"/>
    <w:rsid w:val="00AA5085"/>
    <w:rsid w:val="00AB0BE2"/>
    <w:rsid w:val="00AB194A"/>
    <w:rsid w:val="00AB2C27"/>
    <w:rsid w:val="00AB6824"/>
    <w:rsid w:val="00AC0D34"/>
    <w:rsid w:val="00AC5BA6"/>
    <w:rsid w:val="00AC78B3"/>
    <w:rsid w:val="00AC794E"/>
    <w:rsid w:val="00AD208D"/>
    <w:rsid w:val="00AD40F6"/>
    <w:rsid w:val="00AD4275"/>
    <w:rsid w:val="00AD46AE"/>
    <w:rsid w:val="00AD4E94"/>
    <w:rsid w:val="00AD5A1E"/>
    <w:rsid w:val="00AD6246"/>
    <w:rsid w:val="00AD765E"/>
    <w:rsid w:val="00AE07E8"/>
    <w:rsid w:val="00AE140C"/>
    <w:rsid w:val="00AE1994"/>
    <w:rsid w:val="00AE2052"/>
    <w:rsid w:val="00AE27B3"/>
    <w:rsid w:val="00AF143F"/>
    <w:rsid w:val="00AF208E"/>
    <w:rsid w:val="00AF37D8"/>
    <w:rsid w:val="00B00507"/>
    <w:rsid w:val="00B031DC"/>
    <w:rsid w:val="00B047F4"/>
    <w:rsid w:val="00B050FD"/>
    <w:rsid w:val="00B07698"/>
    <w:rsid w:val="00B208CF"/>
    <w:rsid w:val="00B230E2"/>
    <w:rsid w:val="00B31D5C"/>
    <w:rsid w:val="00B33C7E"/>
    <w:rsid w:val="00B345EA"/>
    <w:rsid w:val="00B50E28"/>
    <w:rsid w:val="00B54C86"/>
    <w:rsid w:val="00B57C1F"/>
    <w:rsid w:val="00B57D14"/>
    <w:rsid w:val="00B62715"/>
    <w:rsid w:val="00B6295C"/>
    <w:rsid w:val="00B653C2"/>
    <w:rsid w:val="00B65C33"/>
    <w:rsid w:val="00B704C7"/>
    <w:rsid w:val="00B71950"/>
    <w:rsid w:val="00B72F8B"/>
    <w:rsid w:val="00B76687"/>
    <w:rsid w:val="00B80A0C"/>
    <w:rsid w:val="00B82E41"/>
    <w:rsid w:val="00B846BF"/>
    <w:rsid w:val="00B84B87"/>
    <w:rsid w:val="00B84D5D"/>
    <w:rsid w:val="00B84EFE"/>
    <w:rsid w:val="00B85437"/>
    <w:rsid w:val="00B860D9"/>
    <w:rsid w:val="00B863C4"/>
    <w:rsid w:val="00B86D2A"/>
    <w:rsid w:val="00B904C4"/>
    <w:rsid w:val="00B905DC"/>
    <w:rsid w:val="00B91812"/>
    <w:rsid w:val="00B9346A"/>
    <w:rsid w:val="00BA0114"/>
    <w:rsid w:val="00BA61C7"/>
    <w:rsid w:val="00BA7D84"/>
    <w:rsid w:val="00BB5BB2"/>
    <w:rsid w:val="00BB7A38"/>
    <w:rsid w:val="00BB7EE2"/>
    <w:rsid w:val="00BC1638"/>
    <w:rsid w:val="00BC2D95"/>
    <w:rsid w:val="00BC31BD"/>
    <w:rsid w:val="00BC36BD"/>
    <w:rsid w:val="00BC5CBA"/>
    <w:rsid w:val="00BC7E7B"/>
    <w:rsid w:val="00BD27A7"/>
    <w:rsid w:val="00BD2F20"/>
    <w:rsid w:val="00BD50D8"/>
    <w:rsid w:val="00BD62D9"/>
    <w:rsid w:val="00BD66C4"/>
    <w:rsid w:val="00BD7BAD"/>
    <w:rsid w:val="00BE1734"/>
    <w:rsid w:val="00BE2244"/>
    <w:rsid w:val="00BE3CEB"/>
    <w:rsid w:val="00BE4863"/>
    <w:rsid w:val="00BE48E2"/>
    <w:rsid w:val="00BE63B0"/>
    <w:rsid w:val="00BF0ED3"/>
    <w:rsid w:val="00BF1474"/>
    <w:rsid w:val="00BF3330"/>
    <w:rsid w:val="00BF68A5"/>
    <w:rsid w:val="00BF68CE"/>
    <w:rsid w:val="00BF7561"/>
    <w:rsid w:val="00C0098A"/>
    <w:rsid w:val="00C0133A"/>
    <w:rsid w:val="00C0351A"/>
    <w:rsid w:val="00C04D6E"/>
    <w:rsid w:val="00C05398"/>
    <w:rsid w:val="00C075A3"/>
    <w:rsid w:val="00C1027A"/>
    <w:rsid w:val="00C103BE"/>
    <w:rsid w:val="00C118C1"/>
    <w:rsid w:val="00C14024"/>
    <w:rsid w:val="00C1426E"/>
    <w:rsid w:val="00C202FF"/>
    <w:rsid w:val="00C212F4"/>
    <w:rsid w:val="00C22A51"/>
    <w:rsid w:val="00C268A8"/>
    <w:rsid w:val="00C301F0"/>
    <w:rsid w:val="00C30E0C"/>
    <w:rsid w:val="00C33164"/>
    <w:rsid w:val="00C33E29"/>
    <w:rsid w:val="00C34C8A"/>
    <w:rsid w:val="00C35629"/>
    <w:rsid w:val="00C35C09"/>
    <w:rsid w:val="00C35C93"/>
    <w:rsid w:val="00C36893"/>
    <w:rsid w:val="00C40928"/>
    <w:rsid w:val="00C41008"/>
    <w:rsid w:val="00C44B5A"/>
    <w:rsid w:val="00C454BB"/>
    <w:rsid w:val="00C45690"/>
    <w:rsid w:val="00C47382"/>
    <w:rsid w:val="00C50B20"/>
    <w:rsid w:val="00C5252B"/>
    <w:rsid w:val="00C52C78"/>
    <w:rsid w:val="00C5395E"/>
    <w:rsid w:val="00C53A80"/>
    <w:rsid w:val="00C5408C"/>
    <w:rsid w:val="00C54610"/>
    <w:rsid w:val="00C546E3"/>
    <w:rsid w:val="00C56BD2"/>
    <w:rsid w:val="00C56C95"/>
    <w:rsid w:val="00C600D8"/>
    <w:rsid w:val="00C602E8"/>
    <w:rsid w:val="00C60F38"/>
    <w:rsid w:val="00C64C39"/>
    <w:rsid w:val="00C64E43"/>
    <w:rsid w:val="00C65ABF"/>
    <w:rsid w:val="00C668D6"/>
    <w:rsid w:val="00C726BF"/>
    <w:rsid w:val="00C73889"/>
    <w:rsid w:val="00C87DAF"/>
    <w:rsid w:val="00C9192C"/>
    <w:rsid w:val="00C91A0F"/>
    <w:rsid w:val="00C94651"/>
    <w:rsid w:val="00C9526B"/>
    <w:rsid w:val="00C95584"/>
    <w:rsid w:val="00CA0BED"/>
    <w:rsid w:val="00CB0592"/>
    <w:rsid w:val="00CB0A63"/>
    <w:rsid w:val="00CB1213"/>
    <w:rsid w:val="00CB1A35"/>
    <w:rsid w:val="00CB2429"/>
    <w:rsid w:val="00CB6D51"/>
    <w:rsid w:val="00CB7FB7"/>
    <w:rsid w:val="00CC03D5"/>
    <w:rsid w:val="00CC2B87"/>
    <w:rsid w:val="00CC45B0"/>
    <w:rsid w:val="00CD45E1"/>
    <w:rsid w:val="00CD496A"/>
    <w:rsid w:val="00CD616A"/>
    <w:rsid w:val="00CF030C"/>
    <w:rsid w:val="00CF04F3"/>
    <w:rsid w:val="00CF0A63"/>
    <w:rsid w:val="00CF21EE"/>
    <w:rsid w:val="00CF3BDB"/>
    <w:rsid w:val="00CF558B"/>
    <w:rsid w:val="00CF62AF"/>
    <w:rsid w:val="00CF72D2"/>
    <w:rsid w:val="00D002CB"/>
    <w:rsid w:val="00D009E9"/>
    <w:rsid w:val="00D0222E"/>
    <w:rsid w:val="00D0502C"/>
    <w:rsid w:val="00D06D3C"/>
    <w:rsid w:val="00D072D7"/>
    <w:rsid w:val="00D120C1"/>
    <w:rsid w:val="00D13A20"/>
    <w:rsid w:val="00D24188"/>
    <w:rsid w:val="00D32E4C"/>
    <w:rsid w:val="00D34217"/>
    <w:rsid w:val="00D36693"/>
    <w:rsid w:val="00D400F9"/>
    <w:rsid w:val="00D44CF0"/>
    <w:rsid w:val="00D4551C"/>
    <w:rsid w:val="00D52711"/>
    <w:rsid w:val="00D52DB0"/>
    <w:rsid w:val="00D54665"/>
    <w:rsid w:val="00D56C98"/>
    <w:rsid w:val="00D570B3"/>
    <w:rsid w:val="00D603D0"/>
    <w:rsid w:val="00D60EEE"/>
    <w:rsid w:val="00D64511"/>
    <w:rsid w:val="00D67F91"/>
    <w:rsid w:val="00D73192"/>
    <w:rsid w:val="00D74EB8"/>
    <w:rsid w:val="00D9060C"/>
    <w:rsid w:val="00D92B93"/>
    <w:rsid w:val="00D9483A"/>
    <w:rsid w:val="00D97A91"/>
    <w:rsid w:val="00DA03EA"/>
    <w:rsid w:val="00DA1371"/>
    <w:rsid w:val="00DA2190"/>
    <w:rsid w:val="00DB0878"/>
    <w:rsid w:val="00DB4C11"/>
    <w:rsid w:val="00DC2047"/>
    <w:rsid w:val="00DC41B9"/>
    <w:rsid w:val="00DC430F"/>
    <w:rsid w:val="00DC51B8"/>
    <w:rsid w:val="00DC524D"/>
    <w:rsid w:val="00DC57B7"/>
    <w:rsid w:val="00DC6368"/>
    <w:rsid w:val="00DC733B"/>
    <w:rsid w:val="00DC7483"/>
    <w:rsid w:val="00DD2319"/>
    <w:rsid w:val="00DD51FE"/>
    <w:rsid w:val="00DD76D7"/>
    <w:rsid w:val="00DE124B"/>
    <w:rsid w:val="00DE5A25"/>
    <w:rsid w:val="00DE7A47"/>
    <w:rsid w:val="00DF166B"/>
    <w:rsid w:val="00DF22F9"/>
    <w:rsid w:val="00DF29E8"/>
    <w:rsid w:val="00DF2B09"/>
    <w:rsid w:val="00DF41CE"/>
    <w:rsid w:val="00DF4DF0"/>
    <w:rsid w:val="00DF5EE4"/>
    <w:rsid w:val="00DF621D"/>
    <w:rsid w:val="00E02EDB"/>
    <w:rsid w:val="00E02FBE"/>
    <w:rsid w:val="00E03FF5"/>
    <w:rsid w:val="00E04E21"/>
    <w:rsid w:val="00E112BC"/>
    <w:rsid w:val="00E12622"/>
    <w:rsid w:val="00E14388"/>
    <w:rsid w:val="00E15EE1"/>
    <w:rsid w:val="00E1659A"/>
    <w:rsid w:val="00E20530"/>
    <w:rsid w:val="00E20A4B"/>
    <w:rsid w:val="00E23049"/>
    <w:rsid w:val="00E270E0"/>
    <w:rsid w:val="00E27296"/>
    <w:rsid w:val="00E27596"/>
    <w:rsid w:val="00E27977"/>
    <w:rsid w:val="00E27B0C"/>
    <w:rsid w:val="00E31B58"/>
    <w:rsid w:val="00E32338"/>
    <w:rsid w:val="00E337FD"/>
    <w:rsid w:val="00E46FD9"/>
    <w:rsid w:val="00E47F6F"/>
    <w:rsid w:val="00E50443"/>
    <w:rsid w:val="00E516F8"/>
    <w:rsid w:val="00E524EC"/>
    <w:rsid w:val="00E52EC9"/>
    <w:rsid w:val="00E54278"/>
    <w:rsid w:val="00E559A7"/>
    <w:rsid w:val="00E55F72"/>
    <w:rsid w:val="00E5751C"/>
    <w:rsid w:val="00E626B4"/>
    <w:rsid w:val="00E62BE8"/>
    <w:rsid w:val="00E6394A"/>
    <w:rsid w:val="00E646F4"/>
    <w:rsid w:val="00E64CFD"/>
    <w:rsid w:val="00E65851"/>
    <w:rsid w:val="00E72FCC"/>
    <w:rsid w:val="00E73AA3"/>
    <w:rsid w:val="00E76B39"/>
    <w:rsid w:val="00E76C33"/>
    <w:rsid w:val="00E77ED3"/>
    <w:rsid w:val="00E849F2"/>
    <w:rsid w:val="00E85BA8"/>
    <w:rsid w:val="00E9043F"/>
    <w:rsid w:val="00E93E86"/>
    <w:rsid w:val="00E9586F"/>
    <w:rsid w:val="00E96581"/>
    <w:rsid w:val="00EA07E3"/>
    <w:rsid w:val="00EA108F"/>
    <w:rsid w:val="00EA1D63"/>
    <w:rsid w:val="00EA3225"/>
    <w:rsid w:val="00EA3F64"/>
    <w:rsid w:val="00EA47F8"/>
    <w:rsid w:val="00EA7808"/>
    <w:rsid w:val="00EA78F4"/>
    <w:rsid w:val="00EB3900"/>
    <w:rsid w:val="00EB4F59"/>
    <w:rsid w:val="00EB63AB"/>
    <w:rsid w:val="00EB7162"/>
    <w:rsid w:val="00EB7227"/>
    <w:rsid w:val="00EC1423"/>
    <w:rsid w:val="00EC3157"/>
    <w:rsid w:val="00EC4D0F"/>
    <w:rsid w:val="00ED03A4"/>
    <w:rsid w:val="00ED240D"/>
    <w:rsid w:val="00ED2BA0"/>
    <w:rsid w:val="00ED2D35"/>
    <w:rsid w:val="00ED33DA"/>
    <w:rsid w:val="00ED6B3E"/>
    <w:rsid w:val="00EE0A73"/>
    <w:rsid w:val="00EE182F"/>
    <w:rsid w:val="00EE2CF5"/>
    <w:rsid w:val="00EE3426"/>
    <w:rsid w:val="00EE3E6F"/>
    <w:rsid w:val="00EE3EDC"/>
    <w:rsid w:val="00EE6111"/>
    <w:rsid w:val="00EE7D3B"/>
    <w:rsid w:val="00EF220C"/>
    <w:rsid w:val="00EF4552"/>
    <w:rsid w:val="00EF51C1"/>
    <w:rsid w:val="00EF5234"/>
    <w:rsid w:val="00EF5355"/>
    <w:rsid w:val="00EF54EE"/>
    <w:rsid w:val="00EF634B"/>
    <w:rsid w:val="00EF73C4"/>
    <w:rsid w:val="00F00767"/>
    <w:rsid w:val="00F03E23"/>
    <w:rsid w:val="00F05D1A"/>
    <w:rsid w:val="00F06DD4"/>
    <w:rsid w:val="00F06E35"/>
    <w:rsid w:val="00F104A1"/>
    <w:rsid w:val="00F10784"/>
    <w:rsid w:val="00F112F3"/>
    <w:rsid w:val="00F11951"/>
    <w:rsid w:val="00F12031"/>
    <w:rsid w:val="00F20481"/>
    <w:rsid w:val="00F20760"/>
    <w:rsid w:val="00F20A35"/>
    <w:rsid w:val="00F242D9"/>
    <w:rsid w:val="00F34D27"/>
    <w:rsid w:val="00F371BF"/>
    <w:rsid w:val="00F432E0"/>
    <w:rsid w:val="00F46934"/>
    <w:rsid w:val="00F46FE2"/>
    <w:rsid w:val="00F50A7D"/>
    <w:rsid w:val="00F51B53"/>
    <w:rsid w:val="00F51D93"/>
    <w:rsid w:val="00F52029"/>
    <w:rsid w:val="00F546C0"/>
    <w:rsid w:val="00F54710"/>
    <w:rsid w:val="00F601B3"/>
    <w:rsid w:val="00F63177"/>
    <w:rsid w:val="00F63F2A"/>
    <w:rsid w:val="00F6534A"/>
    <w:rsid w:val="00F666B8"/>
    <w:rsid w:val="00F6721B"/>
    <w:rsid w:val="00F73DF7"/>
    <w:rsid w:val="00F74EBC"/>
    <w:rsid w:val="00F770CD"/>
    <w:rsid w:val="00F8134E"/>
    <w:rsid w:val="00F825D0"/>
    <w:rsid w:val="00F82D9D"/>
    <w:rsid w:val="00F868F5"/>
    <w:rsid w:val="00F86B74"/>
    <w:rsid w:val="00F92293"/>
    <w:rsid w:val="00F92734"/>
    <w:rsid w:val="00F95879"/>
    <w:rsid w:val="00FA0320"/>
    <w:rsid w:val="00FA0D0E"/>
    <w:rsid w:val="00FA49FA"/>
    <w:rsid w:val="00FA5167"/>
    <w:rsid w:val="00FA58D5"/>
    <w:rsid w:val="00FA5E7B"/>
    <w:rsid w:val="00FA6FEC"/>
    <w:rsid w:val="00FB15C6"/>
    <w:rsid w:val="00FB3B54"/>
    <w:rsid w:val="00FB4C71"/>
    <w:rsid w:val="00FB6429"/>
    <w:rsid w:val="00FC17BE"/>
    <w:rsid w:val="00FC1A60"/>
    <w:rsid w:val="00FC1D8C"/>
    <w:rsid w:val="00FC489B"/>
    <w:rsid w:val="00FC5C42"/>
    <w:rsid w:val="00FD4342"/>
    <w:rsid w:val="00FDA9BA"/>
    <w:rsid w:val="00FE0728"/>
    <w:rsid w:val="00FE1964"/>
    <w:rsid w:val="00FE33C6"/>
    <w:rsid w:val="00FE3473"/>
    <w:rsid w:val="00FF3D18"/>
    <w:rsid w:val="00FF4FDE"/>
    <w:rsid w:val="00FF5368"/>
    <w:rsid w:val="00FF7E5F"/>
    <w:rsid w:val="010D771F"/>
    <w:rsid w:val="01266E76"/>
    <w:rsid w:val="012793EF"/>
    <w:rsid w:val="0136D339"/>
    <w:rsid w:val="01A50AE9"/>
    <w:rsid w:val="02955D4E"/>
    <w:rsid w:val="03212F76"/>
    <w:rsid w:val="05781A20"/>
    <w:rsid w:val="05B07EF9"/>
    <w:rsid w:val="05EB2B47"/>
    <w:rsid w:val="062158DC"/>
    <w:rsid w:val="06963AAF"/>
    <w:rsid w:val="07E48274"/>
    <w:rsid w:val="08DEE691"/>
    <w:rsid w:val="08E27375"/>
    <w:rsid w:val="0917CDB9"/>
    <w:rsid w:val="0C0976F6"/>
    <w:rsid w:val="0C547A01"/>
    <w:rsid w:val="0CB084BF"/>
    <w:rsid w:val="0CCA3F0D"/>
    <w:rsid w:val="0D2707E0"/>
    <w:rsid w:val="0E37AF82"/>
    <w:rsid w:val="0E9CEBC4"/>
    <w:rsid w:val="0FB223C7"/>
    <w:rsid w:val="11396295"/>
    <w:rsid w:val="11396652"/>
    <w:rsid w:val="113CAC47"/>
    <w:rsid w:val="11A1C43D"/>
    <w:rsid w:val="11D9C885"/>
    <w:rsid w:val="12739B04"/>
    <w:rsid w:val="12C2F0D3"/>
    <w:rsid w:val="1373D6F4"/>
    <w:rsid w:val="138097D7"/>
    <w:rsid w:val="1388CC05"/>
    <w:rsid w:val="164EA0F5"/>
    <w:rsid w:val="17533D7A"/>
    <w:rsid w:val="177DDF62"/>
    <w:rsid w:val="17A865F9"/>
    <w:rsid w:val="1829BA4F"/>
    <w:rsid w:val="18435AB7"/>
    <w:rsid w:val="18920EC1"/>
    <w:rsid w:val="18E0E6BB"/>
    <w:rsid w:val="194B2B07"/>
    <w:rsid w:val="197C7D0B"/>
    <w:rsid w:val="1985C4DA"/>
    <w:rsid w:val="1A7F8631"/>
    <w:rsid w:val="1AC09A87"/>
    <w:rsid w:val="1ADDBCA0"/>
    <w:rsid w:val="1ADE9CA6"/>
    <w:rsid w:val="1AE6C0DE"/>
    <w:rsid w:val="1B0D8B96"/>
    <w:rsid w:val="1CD6913B"/>
    <w:rsid w:val="1D74F07B"/>
    <w:rsid w:val="1D8F1502"/>
    <w:rsid w:val="1F6818D0"/>
    <w:rsid w:val="1F8D7268"/>
    <w:rsid w:val="203E9DCC"/>
    <w:rsid w:val="21933998"/>
    <w:rsid w:val="2230BC16"/>
    <w:rsid w:val="225572B3"/>
    <w:rsid w:val="2334F5F3"/>
    <w:rsid w:val="236FC37A"/>
    <w:rsid w:val="239D0426"/>
    <w:rsid w:val="2457E62C"/>
    <w:rsid w:val="2464ABCC"/>
    <w:rsid w:val="2472929E"/>
    <w:rsid w:val="24B8377C"/>
    <w:rsid w:val="24C7D5B8"/>
    <w:rsid w:val="24CB2E68"/>
    <w:rsid w:val="24E481BC"/>
    <w:rsid w:val="2566251A"/>
    <w:rsid w:val="25E5B1A1"/>
    <w:rsid w:val="265446B0"/>
    <w:rsid w:val="27DD06D8"/>
    <w:rsid w:val="29134A0E"/>
    <w:rsid w:val="29F73C66"/>
    <w:rsid w:val="2C84C353"/>
    <w:rsid w:val="2CC85B6A"/>
    <w:rsid w:val="2D129BDA"/>
    <w:rsid w:val="2D5B8A01"/>
    <w:rsid w:val="2D5C42CA"/>
    <w:rsid w:val="2DA26BDD"/>
    <w:rsid w:val="2EE82642"/>
    <w:rsid w:val="2F23C8A3"/>
    <w:rsid w:val="2F66DD96"/>
    <w:rsid w:val="300FCD43"/>
    <w:rsid w:val="30B2F60F"/>
    <w:rsid w:val="310D3841"/>
    <w:rsid w:val="3197DD8F"/>
    <w:rsid w:val="31F7AE6D"/>
    <w:rsid w:val="322FCD11"/>
    <w:rsid w:val="3258C0D6"/>
    <w:rsid w:val="341B3382"/>
    <w:rsid w:val="3598CDCA"/>
    <w:rsid w:val="35A871D5"/>
    <w:rsid w:val="35E64CAA"/>
    <w:rsid w:val="3616AABB"/>
    <w:rsid w:val="364898D5"/>
    <w:rsid w:val="368A9A0E"/>
    <w:rsid w:val="36A8B63D"/>
    <w:rsid w:val="381E8260"/>
    <w:rsid w:val="38237BDD"/>
    <w:rsid w:val="3924E478"/>
    <w:rsid w:val="3A5E8D69"/>
    <w:rsid w:val="3B74AECB"/>
    <w:rsid w:val="3BFFDB08"/>
    <w:rsid w:val="3C7C89AB"/>
    <w:rsid w:val="3C847EA5"/>
    <w:rsid w:val="3D265239"/>
    <w:rsid w:val="3DBEA615"/>
    <w:rsid w:val="3E33FF15"/>
    <w:rsid w:val="3F6A8375"/>
    <w:rsid w:val="3FABBC7E"/>
    <w:rsid w:val="3FE8AF29"/>
    <w:rsid w:val="4017008C"/>
    <w:rsid w:val="40C4B72A"/>
    <w:rsid w:val="417450DA"/>
    <w:rsid w:val="41B2E2F7"/>
    <w:rsid w:val="421DF78B"/>
    <w:rsid w:val="426EE486"/>
    <w:rsid w:val="428B222A"/>
    <w:rsid w:val="42B52859"/>
    <w:rsid w:val="42F80D01"/>
    <w:rsid w:val="4327B999"/>
    <w:rsid w:val="434124B1"/>
    <w:rsid w:val="44AD4C4A"/>
    <w:rsid w:val="44B005AC"/>
    <w:rsid w:val="44D510FA"/>
    <w:rsid w:val="44E7190D"/>
    <w:rsid w:val="455809C8"/>
    <w:rsid w:val="455F250C"/>
    <w:rsid w:val="457F4BAF"/>
    <w:rsid w:val="45A63362"/>
    <w:rsid w:val="45B85284"/>
    <w:rsid w:val="45B93284"/>
    <w:rsid w:val="463F6E16"/>
    <w:rsid w:val="4674D064"/>
    <w:rsid w:val="46BEE091"/>
    <w:rsid w:val="472BF246"/>
    <w:rsid w:val="47E639FE"/>
    <w:rsid w:val="486BE7A8"/>
    <w:rsid w:val="487C4700"/>
    <w:rsid w:val="487F99DC"/>
    <w:rsid w:val="4923C7F6"/>
    <w:rsid w:val="494145FD"/>
    <w:rsid w:val="49CFF478"/>
    <w:rsid w:val="4A60D686"/>
    <w:rsid w:val="4AC1AF02"/>
    <w:rsid w:val="4C34B6C8"/>
    <w:rsid w:val="4D5FDCC6"/>
    <w:rsid w:val="4D93BA8C"/>
    <w:rsid w:val="4DC7FDDF"/>
    <w:rsid w:val="4E7405E1"/>
    <w:rsid w:val="4F13D8C4"/>
    <w:rsid w:val="4FEDFD48"/>
    <w:rsid w:val="503DECEB"/>
    <w:rsid w:val="5041BA63"/>
    <w:rsid w:val="5045D4E5"/>
    <w:rsid w:val="506CE960"/>
    <w:rsid w:val="50A4E4E4"/>
    <w:rsid w:val="50BE1BC1"/>
    <w:rsid w:val="50EA365A"/>
    <w:rsid w:val="5124997A"/>
    <w:rsid w:val="517BF0F9"/>
    <w:rsid w:val="524C192A"/>
    <w:rsid w:val="527DAA66"/>
    <w:rsid w:val="5293B84A"/>
    <w:rsid w:val="53C0017A"/>
    <w:rsid w:val="542E6015"/>
    <w:rsid w:val="5465B2C1"/>
    <w:rsid w:val="54B2307B"/>
    <w:rsid w:val="54F1BABE"/>
    <w:rsid w:val="557ECFE1"/>
    <w:rsid w:val="57718FF8"/>
    <w:rsid w:val="58C923F7"/>
    <w:rsid w:val="5A101255"/>
    <w:rsid w:val="5AF6A3C8"/>
    <w:rsid w:val="5AFF0F86"/>
    <w:rsid w:val="5BF30537"/>
    <w:rsid w:val="5C0A3291"/>
    <w:rsid w:val="5CA67DCA"/>
    <w:rsid w:val="5CCC1D43"/>
    <w:rsid w:val="5D03BBCB"/>
    <w:rsid w:val="5D882E5F"/>
    <w:rsid w:val="5DCC960E"/>
    <w:rsid w:val="5E21CB12"/>
    <w:rsid w:val="5F471AF2"/>
    <w:rsid w:val="5FF1B887"/>
    <w:rsid w:val="60794E27"/>
    <w:rsid w:val="61FC88CE"/>
    <w:rsid w:val="627ABCB3"/>
    <w:rsid w:val="6439B8D5"/>
    <w:rsid w:val="65226CE7"/>
    <w:rsid w:val="658732DA"/>
    <w:rsid w:val="65E7DC4B"/>
    <w:rsid w:val="6606EAFA"/>
    <w:rsid w:val="66A7069D"/>
    <w:rsid w:val="6720DBD3"/>
    <w:rsid w:val="676D09EF"/>
    <w:rsid w:val="67C30D90"/>
    <w:rsid w:val="6801FE8A"/>
    <w:rsid w:val="69977C5F"/>
    <w:rsid w:val="6A1E3D28"/>
    <w:rsid w:val="6A488AB6"/>
    <w:rsid w:val="6AD0A8A6"/>
    <w:rsid w:val="6B230498"/>
    <w:rsid w:val="6B42B0B1"/>
    <w:rsid w:val="6C158EC6"/>
    <w:rsid w:val="6C7C7EA1"/>
    <w:rsid w:val="6D14D363"/>
    <w:rsid w:val="6D6AE9C0"/>
    <w:rsid w:val="6F101419"/>
    <w:rsid w:val="7000A21C"/>
    <w:rsid w:val="70B7913F"/>
    <w:rsid w:val="70C05BDC"/>
    <w:rsid w:val="70FA785A"/>
    <w:rsid w:val="7121F16D"/>
    <w:rsid w:val="71C02838"/>
    <w:rsid w:val="71FBA4ED"/>
    <w:rsid w:val="72130FE1"/>
    <w:rsid w:val="727E6FD7"/>
    <w:rsid w:val="73D8E51B"/>
    <w:rsid w:val="740F3FEB"/>
    <w:rsid w:val="74DCBA74"/>
    <w:rsid w:val="7501ABD7"/>
    <w:rsid w:val="7533FF9A"/>
    <w:rsid w:val="765EAE8F"/>
    <w:rsid w:val="767E3E01"/>
    <w:rsid w:val="779EA895"/>
    <w:rsid w:val="781E8B39"/>
    <w:rsid w:val="78262D70"/>
    <w:rsid w:val="78739202"/>
    <w:rsid w:val="78A8894E"/>
    <w:rsid w:val="78D4D306"/>
    <w:rsid w:val="793FFB96"/>
    <w:rsid w:val="7A201AE3"/>
    <w:rsid w:val="7A4EC839"/>
    <w:rsid w:val="7AA651C7"/>
    <w:rsid w:val="7ACB765E"/>
    <w:rsid w:val="7B03DED9"/>
    <w:rsid w:val="7B190A98"/>
    <w:rsid w:val="7B6C42D0"/>
    <w:rsid w:val="7B9FA62B"/>
    <w:rsid w:val="7BD3742E"/>
    <w:rsid w:val="7BDB73DF"/>
    <w:rsid w:val="7CA735D9"/>
    <w:rsid w:val="7D17CE80"/>
    <w:rsid w:val="7D4AB7EB"/>
    <w:rsid w:val="7D4E3A95"/>
    <w:rsid w:val="7EEFC5A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AA83E"/>
  <w15:chartTrackingRefBased/>
  <w15:docId w15:val="{3767326D-EDF3-4F6D-A1F7-345D42D89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51A"/>
  </w:style>
  <w:style w:type="paragraph" w:styleId="Ttulo1">
    <w:name w:val="heading 1"/>
    <w:basedOn w:val="Normal"/>
    <w:next w:val="Normal"/>
    <w:uiPriority w:val="9"/>
    <w:qFormat/>
    <w:rsid w:val="00113A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semiHidden/>
    <w:unhideWhenUsed/>
    <w:qFormat/>
    <w:rsid w:val="00113A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semiHidden/>
    <w:unhideWhenUsed/>
    <w:qFormat/>
    <w:rsid w:val="00113AD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uiPriority w:val="9"/>
    <w:semiHidden/>
    <w:unhideWhenUsed/>
    <w:qFormat/>
    <w:rsid w:val="00113AD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uiPriority w:val="9"/>
    <w:semiHidden/>
    <w:unhideWhenUsed/>
    <w:qFormat/>
    <w:rsid w:val="00113AD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uiPriority w:val="9"/>
    <w:semiHidden/>
    <w:unhideWhenUsed/>
    <w:qFormat/>
    <w:rsid w:val="00113AD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uiPriority w:val="9"/>
    <w:semiHidden/>
    <w:unhideWhenUsed/>
    <w:qFormat/>
    <w:rsid w:val="00113AD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uiPriority w:val="9"/>
    <w:semiHidden/>
    <w:unhideWhenUsed/>
    <w:qFormat/>
    <w:rsid w:val="00113AD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uiPriority w:val="9"/>
    <w:semiHidden/>
    <w:unhideWhenUsed/>
    <w:qFormat/>
    <w:rsid w:val="00113AD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1"/>
    <w:uiPriority w:val="99"/>
    <w:semiHidden/>
    <w:unhideWhenUsed/>
    <w:rsid w:val="00F05D1A"/>
    <w:pPr>
      <w:tabs>
        <w:tab w:val="center" w:pos="4252"/>
        <w:tab w:val="right" w:pos="8504"/>
      </w:tabs>
      <w:spacing w:after="0" w:line="240" w:lineRule="auto"/>
    </w:pPr>
  </w:style>
  <w:style w:type="character" w:customStyle="1" w:styleId="EncabezadoCar1">
    <w:name w:val="Encabezado Car1"/>
    <w:basedOn w:val="Fuentedeprrafopredeter"/>
    <w:link w:val="Encabezado"/>
    <w:uiPriority w:val="99"/>
    <w:semiHidden/>
    <w:rsid w:val="00F05D1A"/>
  </w:style>
  <w:style w:type="paragraph" w:styleId="Piedepgina">
    <w:name w:val="footer"/>
    <w:basedOn w:val="Normal"/>
    <w:link w:val="PiedepginaCar1"/>
    <w:uiPriority w:val="99"/>
    <w:semiHidden/>
    <w:unhideWhenUsed/>
    <w:rsid w:val="00F05D1A"/>
    <w:pPr>
      <w:tabs>
        <w:tab w:val="center" w:pos="4252"/>
        <w:tab w:val="right" w:pos="8504"/>
      </w:tabs>
      <w:spacing w:after="0" w:line="240" w:lineRule="auto"/>
    </w:pPr>
  </w:style>
  <w:style w:type="character" w:customStyle="1" w:styleId="PiedepginaCar1">
    <w:name w:val="Pie de página Car1"/>
    <w:basedOn w:val="Fuentedeprrafopredeter"/>
    <w:link w:val="Piedepgina"/>
    <w:uiPriority w:val="99"/>
    <w:semiHidden/>
    <w:rsid w:val="00F05D1A"/>
  </w:style>
  <w:style w:type="paragraph" w:styleId="Ttulo">
    <w:name w:val="Title"/>
    <w:basedOn w:val="Normal"/>
    <w:next w:val="Normal"/>
    <w:link w:val="TtuloCar"/>
    <w:uiPriority w:val="10"/>
    <w:qFormat/>
    <w:rsid w:val="000116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A66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116F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A66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116F7"/>
    <w:pPr>
      <w:spacing w:before="160"/>
      <w:jc w:val="center"/>
    </w:pPr>
    <w:rPr>
      <w:i/>
      <w:iCs/>
      <w:color w:val="404040" w:themeColor="text1" w:themeTint="BF"/>
    </w:rPr>
  </w:style>
  <w:style w:type="character" w:customStyle="1" w:styleId="CitaCar">
    <w:name w:val="Cita Car"/>
    <w:basedOn w:val="Fuentedeprrafopredeter"/>
    <w:link w:val="Cita"/>
    <w:uiPriority w:val="29"/>
    <w:rsid w:val="003A6687"/>
    <w:rPr>
      <w:i/>
      <w:iCs/>
      <w:color w:val="404040" w:themeColor="text1" w:themeTint="BF"/>
    </w:rPr>
  </w:style>
  <w:style w:type="paragraph" w:styleId="Citadestacada">
    <w:name w:val="Intense Quote"/>
    <w:basedOn w:val="Normal"/>
    <w:next w:val="Normal"/>
    <w:link w:val="CitadestacadaCar"/>
    <w:uiPriority w:val="30"/>
    <w:qFormat/>
    <w:rsid w:val="000116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A6687"/>
    <w:rPr>
      <w:i/>
      <w:iCs/>
      <w:color w:val="0F4761" w:themeColor="accent1" w:themeShade="BF"/>
    </w:rPr>
  </w:style>
  <w:style w:type="paragraph" w:styleId="Textocomentario">
    <w:name w:val="annotation text"/>
    <w:basedOn w:val="Normal"/>
    <w:link w:val="TextocomentarioCar"/>
    <w:uiPriority w:val="99"/>
    <w:unhideWhenUsed/>
    <w:rsid w:val="000116F7"/>
    <w:pPr>
      <w:spacing w:line="240" w:lineRule="auto"/>
    </w:pPr>
    <w:rPr>
      <w:sz w:val="20"/>
      <w:szCs w:val="20"/>
    </w:rPr>
  </w:style>
  <w:style w:type="character" w:customStyle="1" w:styleId="TextocomentarioCar">
    <w:name w:val="Texto comentario Car"/>
    <w:basedOn w:val="Fuentedeprrafopredeter"/>
    <w:link w:val="Textocomentario"/>
    <w:uiPriority w:val="99"/>
    <w:rsid w:val="003A6687"/>
    <w:rPr>
      <w:sz w:val="20"/>
      <w:szCs w:val="20"/>
    </w:rPr>
  </w:style>
  <w:style w:type="paragraph" w:styleId="Asuntodelcomentario">
    <w:name w:val="annotation subject"/>
    <w:basedOn w:val="Textocomentario"/>
    <w:next w:val="Textocomentario"/>
    <w:link w:val="AsuntodelcomentarioCar"/>
    <w:uiPriority w:val="99"/>
    <w:semiHidden/>
    <w:unhideWhenUsed/>
    <w:rsid w:val="000116F7"/>
    <w:rPr>
      <w:b/>
      <w:bCs/>
    </w:rPr>
  </w:style>
  <w:style w:type="character" w:customStyle="1" w:styleId="AsuntodelcomentarioCar">
    <w:name w:val="Asunto del comentario Car"/>
    <w:basedOn w:val="TextocomentarioCar"/>
    <w:link w:val="Asuntodelcomentario"/>
    <w:uiPriority w:val="99"/>
    <w:semiHidden/>
    <w:rsid w:val="003A6687"/>
    <w:rPr>
      <w:b/>
      <w:bCs/>
      <w:sz w:val="20"/>
      <w:szCs w:val="20"/>
    </w:rPr>
  </w:style>
  <w:style w:type="paragraph" w:styleId="Prrafodelista">
    <w:name w:val="List Paragraph"/>
    <w:basedOn w:val="Normal"/>
    <w:uiPriority w:val="34"/>
    <w:qFormat/>
    <w:rsid w:val="00113AD7"/>
    <w:pPr>
      <w:ind w:left="720"/>
      <w:contextualSpacing/>
    </w:pPr>
  </w:style>
  <w:style w:type="character" w:styleId="nfasisintenso">
    <w:name w:val="Intense Emphasis"/>
    <w:basedOn w:val="Fuentedeprrafopredeter"/>
    <w:uiPriority w:val="21"/>
    <w:qFormat/>
    <w:rsid w:val="00113AD7"/>
    <w:rPr>
      <w:i/>
      <w:iCs/>
      <w:color w:val="0F4761" w:themeColor="accent1" w:themeShade="BF"/>
    </w:rPr>
  </w:style>
  <w:style w:type="character" w:styleId="Referenciaintensa">
    <w:name w:val="Intense Reference"/>
    <w:basedOn w:val="Fuentedeprrafopredeter"/>
    <w:uiPriority w:val="32"/>
    <w:qFormat/>
    <w:rsid w:val="00113AD7"/>
    <w:rPr>
      <w:b/>
      <w:bCs/>
      <w:smallCaps/>
      <w:color w:val="0F4761" w:themeColor="accent1" w:themeShade="BF"/>
      <w:spacing w:val="5"/>
    </w:rPr>
  </w:style>
  <w:style w:type="character" w:customStyle="1" w:styleId="contentpasted0">
    <w:name w:val="contentpasted0"/>
    <w:basedOn w:val="Fuentedeprrafopredeter"/>
    <w:rsid w:val="00113AD7"/>
  </w:style>
  <w:style w:type="character" w:styleId="Hipervnculo">
    <w:name w:val="Hyperlink"/>
    <w:basedOn w:val="Fuentedeprrafopredeter"/>
    <w:uiPriority w:val="99"/>
    <w:unhideWhenUsed/>
    <w:rsid w:val="00D400F9"/>
    <w:rPr>
      <w:color w:val="0000FF"/>
      <w:u w:val="single"/>
    </w:rPr>
  </w:style>
  <w:style w:type="table" w:styleId="Tablaconcuadrcula">
    <w:name w:val="Table Grid"/>
    <w:basedOn w:val="Tablanormal"/>
    <w:uiPriority w:val="39"/>
    <w:rsid w:val="00D40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F0A63"/>
    <w:rPr>
      <w:rFonts w:ascii="Times New Roman" w:hAnsi="Times New Roman" w:cs="Times New Roman"/>
      <w:sz w:val="24"/>
      <w:szCs w:val="24"/>
    </w:rPr>
  </w:style>
  <w:style w:type="character" w:styleId="Refdecomentario">
    <w:name w:val="annotation reference"/>
    <w:basedOn w:val="Fuentedeprrafopredeter"/>
    <w:uiPriority w:val="99"/>
    <w:semiHidden/>
    <w:unhideWhenUsed/>
    <w:rsid w:val="00732FFB"/>
    <w:rPr>
      <w:sz w:val="16"/>
      <w:szCs w:val="16"/>
    </w:rPr>
  </w:style>
  <w:style w:type="character" w:customStyle="1" w:styleId="Ttulo1Car">
    <w:name w:val="Título 1 Car"/>
    <w:basedOn w:val="Fuentedeprrafopredeter"/>
    <w:uiPriority w:val="9"/>
    <w:rsid w:val="003A66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3A66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3A6687"/>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3A6687"/>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3A6687"/>
    <w:rPr>
      <w:rFonts w:eastAsiaTheme="majorEastAsia" w:cstheme="majorBidi"/>
      <w:color w:val="0F4761" w:themeColor="accent1" w:themeShade="BF"/>
    </w:rPr>
  </w:style>
  <w:style w:type="character" w:customStyle="1" w:styleId="Ttulo6Car">
    <w:name w:val="Título 6 Car"/>
    <w:basedOn w:val="Fuentedeprrafopredeter"/>
    <w:uiPriority w:val="9"/>
    <w:semiHidden/>
    <w:rsid w:val="003A6687"/>
    <w:rPr>
      <w:rFonts w:eastAsiaTheme="majorEastAsia" w:cstheme="majorBidi"/>
      <w:i/>
      <w:iCs/>
      <w:color w:val="595959" w:themeColor="text1" w:themeTint="A6"/>
    </w:rPr>
  </w:style>
  <w:style w:type="character" w:customStyle="1" w:styleId="Ttulo7Car">
    <w:name w:val="Título 7 Car"/>
    <w:basedOn w:val="Fuentedeprrafopredeter"/>
    <w:uiPriority w:val="9"/>
    <w:semiHidden/>
    <w:rsid w:val="003A6687"/>
    <w:rPr>
      <w:rFonts w:eastAsiaTheme="majorEastAsia" w:cstheme="majorBidi"/>
      <w:color w:val="595959" w:themeColor="text1" w:themeTint="A6"/>
    </w:rPr>
  </w:style>
  <w:style w:type="character" w:customStyle="1" w:styleId="Ttulo8Car">
    <w:name w:val="Título 8 Car"/>
    <w:basedOn w:val="Fuentedeprrafopredeter"/>
    <w:uiPriority w:val="9"/>
    <w:semiHidden/>
    <w:rsid w:val="003A6687"/>
    <w:rPr>
      <w:rFonts w:eastAsiaTheme="majorEastAsia" w:cstheme="majorBidi"/>
      <w:i/>
      <w:iCs/>
      <w:color w:val="272727" w:themeColor="text1" w:themeTint="D8"/>
    </w:rPr>
  </w:style>
  <w:style w:type="character" w:customStyle="1" w:styleId="Ttulo9Car">
    <w:name w:val="Título 9 Car"/>
    <w:basedOn w:val="Fuentedeprrafopredeter"/>
    <w:uiPriority w:val="9"/>
    <w:semiHidden/>
    <w:rsid w:val="003A6687"/>
    <w:rPr>
      <w:rFonts w:eastAsiaTheme="majorEastAsia" w:cstheme="majorBidi"/>
      <w:color w:val="272727" w:themeColor="text1" w:themeTint="D8"/>
    </w:rPr>
  </w:style>
  <w:style w:type="character" w:customStyle="1" w:styleId="EncabezadoCar">
    <w:name w:val="Encabezado Car"/>
    <w:basedOn w:val="Fuentedeprrafopredeter"/>
    <w:uiPriority w:val="99"/>
    <w:rsid w:val="003A6687"/>
  </w:style>
  <w:style w:type="character" w:customStyle="1" w:styleId="PiedepginaCar">
    <w:name w:val="Pie de página Car"/>
    <w:basedOn w:val="Fuentedeprrafopredeter"/>
    <w:uiPriority w:val="99"/>
    <w:rsid w:val="003A6687"/>
  </w:style>
  <w:style w:type="character" w:styleId="Mencinsinresolver">
    <w:name w:val="Unresolved Mention"/>
    <w:basedOn w:val="Fuentedeprrafopredeter"/>
    <w:uiPriority w:val="99"/>
    <w:semiHidden/>
    <w:unhideWhenUsed/>
    <w:rsid w:val="00DD23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hyperlink" Target="mailto:laura.martinez@iahorro.com" TargetMode="External"/><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Pages>
  <Words>1256</Words>
  <Characters>6908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Nerea Gastesi</cp:lastModifiedBy>
  <cp:revision>42</cp:revision>
  <dcterms:created xsi:type="dcterms:W3CDTF">2026-09-29T07:43:00Z</dcterms:created>
  <dcterms:modified xsi:type="dcterms:W3CDTF">2026-09-30T10:10:00Z</dcterms:modified>
</cp:coreProperties>
</file>